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7"/>
        </w:rPr>
      </w:pPr>
    </w:p>
    <w:p>
      <w:pPr>
        <w:spacing w:line="621" w:lineRule="exact" w:before="0"/>
        <w:ind w:left="290" w:right="336" w:firstLine="0"/>
        <w:jc w:val="center"/>
        <w:rPr>
          <w:b/>
          <w:sz w:val="52"/>
        </w:rPr>
      </w:pPr>
      <w:r>
        <w:rPr>
          <w:b/>
          <w:w w:val="95"/>
          <w:sz w:val="52"/>
        </w:rPr>
        <w:t>建设项目环境影响报告表</w:t>
      </w:r>
    </w:p>
    <w:p>
      <w:pPr>
        <w:spacing w:before="338"/>
        <w:ind w:left="290" w:right="286" w:firstLine="0"/>
        <w:jc w:val="center"/>
        <w:rPr>
          <w:b/>
          <w:sz w:val="48"/>
        </w:rPr>
      </w:pPr>
      <w:r>
        <w:rPr>
          <w:b/>
          <w:w w:val="95"/>
          <w:sz w:val="48"/>
        </w:rPr>
        <w:t>（报批本）</w:t>
      </w:r>
    </w:p>
    <w:p>
      <w:pPr>
        <w:pStyle w:val="BodyText"/>
        <w:rPr>
          <w:b/>
          <w:sz w:val="48"/>
        </w:rPr>
      </w:pPr>
    </w:p>
    <w:p>
      <w:pPr>
        <w:pStyle w:val="BodyText"/>
        <w:rPr>
          <w:b/>
          <w:sz w:val="48"/>
        </w:rPr>
      </w:pPr>
    </w:p>
    <w:p>
      <w:pPr>
        <w:pStyle w:val="BodyText"/>
        <w:rPr>
          <w:b/>
          <w:sz w:val="48"/>
        </w:rPr>
      </w:pPr>
    </w:p>
    <w:p>
      <w:pPr>
        <w:pStyle w:val="BodyText"/>
        <w:spacing w:before="2"/>
        <w:rPr>
          <w:b/>
          <w:sz w:val="71"/>
        </w:rPr>
      </w:pPr>
    </w:p>
    <w:p>
      <w:pPr>
        <w:spacing w:before="0"/>
        <w:ind w:left="1082" w:right="0" w:firstLine="0"/>
        <w:jc w:val="left"/>
        <w:rPr>
          <w:b/>
          <w:sz w:val="32"/>
        </w:rPr>
      </w:pPr>
      <w:r>
        <w:rPr>
          <w:b/>
          <w:sz w:val="32"/>
        </w:rPr>
        <w:t>项目名称：</w:t>
      </w:r>
      <w:r>
        <w:rPr>
          <w:b/>
          <w:sz w:val="32"/>
          <w:u w:val="single"/>
        </w:rPr>
        <w:t>滨水景观 </w:t>
      </w:r>
      <w:r>
        <w:rPr>
          <w:rFonts w:ascii="Times New Roman" w:eastAsia="Times New Roman"/>
          <w:b/>
          <w:sz w:val="32"/>
          <w:u w:val="single"/>
        </w:rPr>
        <w:t>3#</w:t>
      </w:r>
      <w:r>
        <w:rPr>
          <w:b/>
          <w:sz w:val="32"/>
          <w:u w:val="single"/>
        </w:rPr>
        <w:t>桥连接峨城大道段道路工程</w:t>
      </w:r>
    </w:p>
    <w:p>
      <w:pPr>
        <w:pStyle w:val="BodyText"/>
        <w:rPr>
          <w:b/>
          <w:sz w:val="20"/>
        </w:rPr>
      </w:pPr>
    </w:p>
    <w:p>
      <w:pPr>
        <w:pStyle w:val="BodyText"/>
        <w:spacing w:before="6"/>
        <w:rPr>
          <w:b/>
          <w:sz w:val="23"/>
        </w:rPr>
      </w:pPr>
    </w:p>
    <w:p>
      <w:pPr>
        <w:tabs>
          <w:tab w:pos="3867" w:val="left" w:leader="none"/>
          <w:tab w:pos="8433" w:val="left" w:leader="none"/>
        </w:tabs>
        <w:spacing w:before="10"/>
        <w:ind w:left="1082" w:right="0" w:firstLine="0"/>
        <w:jc w:val="left"/>
        <w:rPr>
          <w:b/>
          <w:sz w:val="32"/>
        </w:rPr>
      </w:pPr>
      <w:r>
        <w:rPr>
          <w:b/>
          <w:sz w:val="32"/>
        </w:rPr>
        <w:t>建设单</w:t>
      </w:r>
      <w:r>
        <w:rPr>
          <w:b/>
          <w:spacing w:val="3"/>
          <w:sz w:val="32"/>
        </w:rPr>
        <w:t>位</w:t>
      </w:r>
      <w:r>
        <w:rPr>
          <w:rFonts w:ascii="Times New Roman" w:eastAsia="Times New Roman"/>
          <w:b/>
          <w:sz w:val="32"/>
        </w:rPr>
        <w:t>(</w:t>
      </w:r>
      <w:r>
        <w:rPr>
          <w:b/>
          <w:sz w:val="32"/>
        </w:rPr>
        <w:t>盖章</w:t>
      </w:r>
      <w:r>
        <w:rPr>
          <w:rFonts w:ascii="Times New Roman" w:eastAsia="Times New Roman"/>
          <w:b/>
          <w:sz w:val="32"/>
        </w:rPr>
        <w:t>)</w:t>
      </w:r>
      <w:r>
        <w:rPr>
          <w:b/>
          <w:sz w:val="32"/>
        </w:rPr>
        <w:t>：</w:t>
      </w:r>
      <w:r>
        <w:rPr>
          <w:rFonts w:ascii="Times New Roman" w:eastAsia="Times New Roman"/>
          <w:b/>
          <w:sz w:val="32"/>
          <w:u w:val="single"/>
        </w:rPr>
        <w:t> </w:t>
        <w:tab/>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3"/>
        <w:rPr>
          <w:b/>
          <w:sz w:val="28"/>
        </w:rPr>
      </w:pPr>
    </w:p>
    <w:p>
      <w:pPr>
        <w:spacing w:line="336" w:lineRule="auto" w:before="11"/>
        <w:ind w:left="2509" w:right="2507"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10 </w:t>
      </w:r>
      <w:r>
        <w:rPr>
          <w:b/>
          <w:sz w:val="32"/>
        </w:rPr>
        <w:t>月环境保护部 制</w:t>
      </w:r>
    </w:p>
    <w:p>
      <w:pPr>
        <w:spacing w:before="74"/>
        <w:ind w:left="290" w:right="286" w:firstLine="0"/>
        <w:jc w:val="center"/>
        <w:rPr>
          <w:b/>
          <w:sz w:val="32"/>
        </w:rPr>
      </w:pPr>
      <w:r>
        <w:rPr>
          <w:b/>
          <w:sz w:val="32"/>
        </w:rPr>
        <w:t>四川省环保厅 印</w:t>
      </w:r>
    </w:p>
    <w:p>
      <w:pPr>
        <w:spacing w:after="0"/>
        <w:jc w:val="center"/>
        <w:rPr>
          <w:sz w:val="32"/>
        </w:rPr>
        <w:sectPr>
          <w:type w:val="continuous"/>
          <w:pgSz w:w="11910" w:h="16850"/>
          <w:pgMar w:top="1600" w:bottom="280" w:left="1680" w:right="1680"/>
        </w:sectPr>
      </w:pPr>
    </w:p>
    <w:p>
      <w:pPr>
        <w:pStyle w:val="BodyText"/>
        <w:rPr>
          <w:b/>
          <w:sz w:val="20"/>
        </w:rPr>
      </w:pPr>
    </w:p>
    <w:p>
      <w:pPr>
        <w:pStyle w:val="BodyText"/>
        <w:spacing w:before="5"/>
        <w:rPr>
          <w:b/>
          <w:sz w:val="15"/>
        </w:rPr>
      </w:pPr>
    </w:p>
    <w:p>
      <w:pPr>
        <w:pStyle w:val="Heading2"/>
        <w:spacing w:line="362" w:lineRule="exact" w:before="51" w:after="8"/>
        <w:ind w:left="2969" w:right="722" w:hanging="2250"/>
      </w:pPr>
      <w:r>
        <w:rPr/>
        <w:t>《滨水景观</w:t>
      </w:r>
      <w:r>
        <w:rPr>
          <w:rFonts w:ascii="Calibri" w:eastAsia="Calibri"/>
        </w:rPr>
        <w:t>3#</w:t>
      </w:r>
      <w:r>
        <w:rPr/>
        <w:t>桥连接峨城大道段道路工程环境影响报告表》</w:t>
      </w:r>
      <w:r>
        <w:rPr>
          <w:w w:val="95"/>
        </w:rPr>
        <w:t>专家评审意见修改清单</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3841"/>
        <w:gridCol w:w="3874"/>
      </w:tblGrid>
      <w:tr>
        <w:trPr>
          <w:trHeight w:val="322" w:hRule="exact"/>
        </w:trPr>
        <w:tc>
          <w:tcPr>
            <w:tcW w:w="816" w:type="dxa"/>
          </w:tcPr>
          <w:p>
            <w:pPr>
              <w:pStyle w:val="TableParagraph"/>
              <w:spacing w:line="276" w:lineRule="exact"/>
              <w:ind w:left="142" w:right="142"/>
              <w:rPr>
                <w:b/>
                <w:sz w:val="24"/>
              </w:rPr>
            </w:pPr>
            <w:r>
              <w:rPr>
                <w:b/>
                <w:sz w:val="24"/>
              </w:rPr>
              <w:t>序号</w:t>
            </w:r>
          </w:p>
        </w:tc>
        <w:tc>
          <w:tcPr>
            <w:tcW w:w="3841" w:type="dxa"/>
          </w:tcPr>
          <w:p>
            <w:pPr>
              <w:pStyle w:val="TableParagraph"/>
              <w:spacing w:line="276" w:lineRule="exact"/>
              <w:ind w:left="95" w:right="95"/>
              <w:rPr>
                <w:b/>
                <w:sz w:val="24"/>
              </w:rPr>
            </w:pPr>
            <w:r>
              <w:rPr>
                <w:b/>
                <w:sz w:val="24"/>
              </w:rPr>
              <w:t>专家意见</w:t>
            </w:r>
          </w:p>
        </w:tc>
        <w:tc>
          <w:tcPr>
            <w:tcW w:w="3874" w:type="dxa"/>
          </w:tcPr>
          <w:p>
            <w:pPr>
              <w:pStyle w:val="TableParagraph"/>
              <w:spacing w:line="276" w:lineRule="exact"/>
              <w:ind w:left="109" w:right="112"/>
              <w:rPr>
                <w:b/>
                <w:sz w:val="24"/>
              </w:rPr>
            </w:pPr>
            <w:r>
              <w:rPr>
                <w:b/>
                <w:sz w:val="24"/>
              </w:rPr>
              <w:t>修改情况</w:t>
            </w:r>
          </w:p>
        </w:tc>
      </w:tr>
      <w:tr>
        <w:trPr>
          <w:trHeight w:val="1567" w:hRule="exact"/>
        </w:trPr>
        <w:tc>
          <w:tcPr>
            <w:tcW w:w="816" w:type="dxa"/>
          </w:tcPr>
          <w:p>
            <w:pPr>
              <w:pStyle w:val="TableParagraph"/>
              <w:jc w:val="left"/>
              <w:rPr>
                <w:b/>
                <w:sz w:val="26"/>
              </w:rPr>
            </w:pPr>
          </w:p>
          <w:p>
            <w:pPr>
              <w:pStyle w:val="TableParagraph"/>
              <w:spacing w:before="9"/>
              <w:jc w:val="left"/>
              <w:rPr>
                <w:b/>
                <w:sz w:val="22"/>
              </w:rPr>
            </w:pPr>
          </w:p>
          <w:p>
            <w:pPr>
              <w:pStyle w:val="TableParagraph"/>
              <w:rPr>
                <w:rFonts w:ascii="Times New Roman"/>
                <w:b/>
                <w:sz w:val="24"/>
              </w:rPr>
            </w:pPr>
            <w:r>
              <w:rPr>
                <w:rFonts w:ascii="Times New Roman"/>
                <w:b/>
                <w:sz w:val="24"/>
              </w:rPr>
              <w:t>1</w:t>
            </w:r>
          </w:p>
        </w:tc>
        <w:tc>
          <w:tcPr>
            <w:tcW w:w="3841" w:type="dxa"/>
          </w:tcPr>
          <w:p>
            <w:pPr>
              <w:pStyle w:val="TableParagraph"/>
              <w:spacing w:line="237" w:lineRule="auto" w:before="118"/>
              <w:ind w:left="115" w:right="113"/>
              <w:jc w:val="both"/>
              <w:rPr>
                <w:sz w:val="24"/>
              </w:rPr>
            </w:pPr>
            <w:r>
              <w:rPr>
                <w:sz w:val="24"/>
              </w:rPr>
              <w:t>完善项目建设内容和项目组成表相关内容，细化外环境关系介绍，校核项目环境保护目标敏感点距离、方位和人口数量和地理位置图。</w:t>
            </w:r>
          </w:p>
        </w:tc>
        <w:tc>
          <w:tcPr>
            <w:tcW w:w="3874" w:type="dxa"/>
          </w:tcPr>
          <w:p>
            <w:pPr>
              <w:pStyle w:val="TableParagraph"/>
              <w:spacing w:line="273" w:lineRule="exact"/>
              <w:ind w:left="112" w:firstLine="16"/>
              <w:jc w:val="both"/>
              <w:rPr>
                <w:sz w:val="24"/>
              </w:rPr>
            </w:pPr>
            <w:r>
              <w:rPr>
                <w:sz w:val="24"/>
              </w:rPr>
              <w:t>已完善项目建设内容和项目组成表</w:t>
            </w:r>
          </w:p>
          <w:p>
            <w:pPr>
              <w:pStyle w:val="TableParagraph"/>
              <w:spacing w:line="232" w:lineRule="auto" w:before="7"/>
              <w:ind w:left="129" w:right="116" w:hanging="17"/>
              <w:jc w:val="both"/>
              <w:rPr>
                <w:sz w:val="24"/>
              </w:rPr>
            </w:pPr>
            <w:r>
              <w:rPr>
                <w:spacing w:val="-9"/>
                <w:sz w:val="24"/>
              </w:rPr>
              <w:t>相关内容，见 </w:t>
            </w:r>
            <w:r>
              <w:rPr>
                <w:rFonts w:ascii="Times New Roman" w:eastAsia="Times New Roman"/>
                <w:sz w:val="24"/>
              </w:rPr>
              <w:t>P3-6</w:t>
            </w:r>
            <w:r>
              <w:rPr>
                <w:sz w:val="24"/>
              </w:rPr>
              <w:t>；已细化外环境关系介绍，校核了项目环境保护目标敏感点距离、方位和人口数量和</w:t>
            </w:r>
            <w:r>
              <w:rPr>
                <w:spacing w:val="-8"/>
                <w:sz w:val="24"/>
              </w:rPr>
              <w:t>地理位置图，见 </w:t>
            </w:r>
            <w:r>
              <w:rPr>
                <w:sz w:val="24"/>
              </w:rPr>
              <w:t>P21-22</w:t>
            </w:r>
            <w:r>
              <w:rPr>
                <w:spacing w:val="-15"/>
                <w:sz w:val="24"/>
              </w:rPr>
              <w:t>、附图 </w:t>
            </w:r>
            <w:r>
              <w:rPr>
                <w:sz w:val="24"/>
              </w:rPr>
              <w:t>1</w:t>
            </w:r>
          </w:p>
        </w:tc>
      </w:tr>
      <w:tr>
        <w:trPr>
          <w:trHeight w:val="1877" w:hRule="exact"/>
        </w:trPr>
        <w:tc>
          <w:tcPr>
            <w:tcW w:w="816" w:type="dxa"/>
          </w:tcPr>
          <w:p>
            <w:pPr>
              <w:pStyle w:val="TableParagraph"/>
              <w:jc w:val="left"/>
              <w:rPr>
                <w:b/>
                <w:sz w:val="26"/>
              </w:rPr>
            </w:pPr>
          </w:p>
          <w:p>
            <w:pPr>
              <w:pStyle w:val="TableParagraph"/>
              <w:spacing w:before="9"/>
              <w:jc w:val="left"/>
              <w:rPr>
                <w:b/>
                <w:sz w:val="34"/>
              </w:rPr>
            </w:pPr>
          </w:p>
          <w:p>
            <w:pPr>
              <w:pStyle w:val="TableParagraph"/>
              <w:rPr>
                <w:rFonts w:ascii="Times New Roman"/>
                <w:b/>
                <w:sz w:val="24"/>
              </w:rPr>
            </w:pPr>
            <w:r>
              <w:rPr>
                <w:rFonts w:ascii="Times New Roman"/>
                <w:b/>
                <w:sz w:val="24"/>
              </w:rPr>
              <w:t>2</w:t>
            </w:r>
          </w:p>
        </w:tc>
        <w:tc>
          <w:tcPr>
            <w:tcW w:w="3841" w:type="dxa"/>
          </w:tcPr>
          <w:p>
            <w:pPr>
              <w:pStyle w:val="TableParagraph"/>
              <w:spacing w:line="237" w:lineRule="auto" w:before="119"/>
              <w:ind w:left="116" w:right="115"/>
              <w:rPr>
                <w:sz w:val="24"/>
              </w:rPr>
            </w:pPr>
            <w:r>
              <w:rPr>
                <w:sz w:val="24"/>
              </w:rPr>
              <w:t>认真调查和回顾项目施工期的环境影响，调查项目建成后运行情况，补充调查项目施工期的土石方去 向，项目周边雨污管网建设和使用情况、绿化工程建设等情况。</w:t>
            </w:r>
          </w:p>
        </w:tc>
        <w:tc>
          <w:tcPr>
            <w:tcW w:w="3874" w:type="dxa"/>
          </w:tcPr>
          <w:p>
            <w:pPr>
              <w:pStyle w:val="TableParagraph"/>
              <w:spacing w:line="273" w:lineRule="exact"/>
              <w:ind w:left="109" w:right="112"/>
              <w:rPr>
                <w:sz w:val="24"/>
              </w:rPr>
            </w:pPr>
            <w:r>
              <w:rPr>
                <w:sz w:val="24"/>
              </w:rPr>
              <w:t>已调查和回顾项目施工期的环境影</w:t>
            </w:r>
          </w:p>
          <w:p>
            <w:pPr>
              <w:pStyle w:val="TableParagraph"/>
              <w:spacing w:line="237" w:lineRule="auto" w:before="2"/>
              <w:ind w:left="129" w:right="134"/>
              <w:rPr>
                <w:sz w:val="24"/>
              </w:rPr>
            </w:pPr>
            <w:r>
              <w:rPr>
                <w:sz w:val="24"/>
              </w:rPr>
              <w:t>响，调查项目建成后运行情况，已补充调查项目施工期的土石方去 向，项目周边雨污管网建设和使用情况、绿化工程建设等情况，见P29-37</w:t>
            </w:r>
          </w:p>
        </w:tc>
      </w:tr>
      <w:tr>
        <w:trPr>
          <w:trHeight w:val="3123" w:hRule="exact"/>
        </w:trPr>
        <w:tc>
          <w:tcPr>
            <w:tcW w:w="816" w:type="dxa"/>
          </w:tcPr>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before="1"/>
              <w:jc w:val="left"/>
              <w:rPr>
                <w:b/>
                <w:sz w:val="30"/>
              </w:rPr>
            </w:pPr>
          </w:p>
          <w:p>
            <w:pPr>
              <w:pStyle w:val="TableParagraph"/>
              <w:spacing w:before="1"/>
              <w:rPr>
                <w:rFonts w:ascii="Times New Roman"/>
                <w:b/>
                <w:sz w:val="24"/>
              </w:rPr>
            </w:pPr>
            <w:r>
              <w:rPr>
                <w:rFonts w:ascii="Times New Roman"/>
                <w:b/>
                <w:sz w:val="24"/>
              </w:rPr>
              <w:t>3</w:t>
            </w:r>
          </w:p>
        </w:tc>
        <w:tc>
          <w:tcPr>
            <w:tcW w:w="3841" w:type="dxa"/>
          </w:tcPr>
          <w:p>
            <w:pPr>
              <w:pStyle w:val="TableParagraph"/>
              <w:spacing w:line="273" w:lineRule="exact"/>
              <w:ind w:left="115"/>
              <w:jc w:val="both"/>
              <w:rPr>
                <w:sz w:val="24"/>
              </w:rPr>
            </w:pPr>
            <w:r>
              <w:rPr>
                <w:sz w:val="24"/>
              </w:rPr>
              <w:t>从两个项目建设的时间、方位、距</w:t>
            </w:r>
          </w:p>
          <w:p>
            <w:pPr>
              <w:pStyle w:val="TableParagraph"/>
              <w:spacing w:line="237" w:lineRule="auto" w:before="1"/>
              <w:ind w:left="115" w:right="114"/>
              <w:jc w:val="both"/>
              <w:rPr>
                <w:sz w:val="24"/>
              </w:rPr>
            </w:pPr>
            <w:r>
              <w:rPr>
                <w:sz w:val="24"/>
              </w:rPr>
              <w:t>离、监测点位布设位置等方面进一步补充分析本项目大气环境质量现状和地表水环境质量现状引用“开江县永安路、龙池街等市政道路改造及管网工程建设项目的监测报告</w:t>
            </w:r>
          </w:p>
          <w:p>
            <w:pPr>
              <w:pStyle w:val="TableParagraph"/>
              <w:spacing w:line="312" w:lineRule="exact" w:before="26"/>
              <w:ind w:left="103" w:right="-17"/>
              <w:rPr>
                <w:sz w:val="24"/>
              </w:rPr>
            </w:pPr>
            <w:r>
              <w:rPr>
                <w:sz w:val="24"/>
              </w:rPr>
              <w:t>（</w:t>
            </w:r>
            <w:r>
              <w:rPr>
                <w:spacing w:val="-10"/>
                <w:sz w:val="24"/>
              </w:rPr>
              <w:t>川工环监字</w:t>
            </w:r>
            <w:r>
              <w:rPr>
                <w:sz w:val="24"/>
              </w:rPr>
              <w:t>（2017</w:t>
            </w:r>
            <w:r>
              <w:rPr>
                <w:spacing w:val="-48"/>
                <w:sz w:val="24"/>
              </w:rPr>
              <w:t>）</w:t>
            </w:r>
            <w:r>
              <w:rPr>
                <w:spacing w:val="-30"/>
                <w:sz w:val="24"/>
              </w:rPr>
              <w:t>第 </w:t>
            </w:r>
            <w:r>
              <w:rPr>
                <w:sz w:val="24"/>
              </w:rPr>
              <w:t>2183</w:t>
            </w:r>
            <w:r>
              <w:rPr>
                <w:spacing w:val="-30"/>
                <w:sz w:val="24"/>
              </w:rPr>
              <w:t> 号</w:t>
            </w:r>
            <w:r>
              <w:rPr>
                <w:spacing w:val="-120"/>
                <w:sz w:val="24"/>
              </w:rPr>
              <w:t>）</w:t>
            </w:r>
            <w:r>
              <w:rPr>
                <w:sz w:val="24"/>
              </w:rPr>
              <w:t>”数据满足导则要求的时效性、合理性和代表性，校核环境质量评价方法。</w:t>
            </w:r>
          </w:p>
        </w:tc>
        <w:tc>
          <w:tcPr>
            <w:tcW w:w="3874" w:type="dxa"/>
          </w:tcPr>
          <w:p>
            <w:pPr>
              <w:pStyle w:val="TableParagraph"/>
              <w:jc w:val="left"/>
              <w:rPr>
                <w:b/>
                <w:sz w:val="26"/>
              </w:rPr>
            </w:pPr>
          </w:p>
          <w:p>
            <w:pPr>
              <w:pStyle w:val="TableParagraph"/>
              <w:jc w:val="left"/>
              <w:rPr>
                <w:b/>
                <w:sz w:val="26"/>
              </w:rPr>
            </w:pPr>
          </w:p>
          <w:p>
            <w:pPr>
              <w:pStyle w:val="TableParagraph"/>
              <w:spacing w:before="6"/>
              <w:jc w:val="left"/>
              <w:rPr>
                <w:b/>
                <w:sz w:val="30"/>
              </w:rPr>
            </w:pPr>
          </w:p>
          <w:p>
            <w:pPr>
              <w:pStyle w:val="TableParagraph"/>
              <w:spacing w:line="312" w:lineRule="exact" w:before="1"/>
              <w:ind w:left="109" w:right="112"/>
              <w:rPr>
                <w:sz w:val="24"/>
              </w:rPr>
            </w:pPr>
            <w:r>
              <w:rPr>
                <w:sz w:val="24"/>
              </w:rPr>
              <w:t>已补充分析引用监测的时效性、合理性和代表性，已校核环境质量评价方法，见 </w:t>
            </w:r>
            <w:r>
              <w:rPr>
                <w:rFonts w:ascii="Times New Roman" w:eastAsia="Times New Roman"/>
                <w:sz w:val="24"/>
              </w:rPr>
              <w:t>P16-20</w:t>
            </w:r>
            <w:r>
              <w:rPr>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4</w:t>
            </w:r>
          </w:p>
        </w:tc>
        <w:tc>
          <w:tcPr>
            <w:tcW w:w="3841" w:type="dxa"/>
          </w:tcPr>
          <w:p>
            <w:pPr>
              <w:pStyle w:val="TableParagraph"/>
              <w:spacing w:line="273" w:lineRule="exact"/>
              <w:ind w:left="95" w:right="95"/>
              <w:rPr>
                <w:sz w:val="24"/>
              </w:rPr>
            </w:pPr>
            <w:r>
              <w:rPr>
                <w:sz w:val="24"/>
              </w:rPr>
              <w:t>强化项目施工期污染物排放及治理</w:t>
            </w:r>
          </w:p>
          <w:p>
            <w:pPr>
              <w:pStyle w:val="TableParagraph"/>
              <w:spacing w:line="237" w:lineRule="auto" w:before="1"/>
              <w:ind w:left="96" w:right="95"/>
              <w:rPr>
                <w:sz w:val="24"/>
              </w:rPr>
            </w:pPr>
            <w:r>
              <w:rPr>
                <w:sz w:val="24"/>
              </w:rPr>
              <w:t>措施内容，进一步核实土石方工程数量和采取的环保措施，细化环境空气等影响分析内容。</w:t>
            </w:r>
          </w:p>
        </w:tc>
        <w:tc>
          <w:tcPr>
            <w:tcW w:w="3874" w:type="dxa"/>
          </w:tcPr>
          <w:p>
            <w:pPr>
              <w:pStyle w:val="TableParagraph"/>
              <w:spacing w:line="273" w:lineRule="exact"/>
              <w:ind w:left="129"/>
              <w:jc w:val="both"/>
              <w:rPr>
                <w:sz w:val="24"/>
              </w:rPr>
            </w:pPr>
            <w:r>
              <w:rPr>
                <w:sz w:val="24"/>
              </w:rPr>
              <w:t>已强化项目施工期污染物排放及治</w:t>
            </w:r>
          </w:p>
          <w:p>
            <w:pPr>
              <w:pStyle w:val="TableParagraph"/>
              <w:spacing w:line="237" w:lineRule="auto" w:before="1"/>
              <w:ind w:left="103" w:right="-17" w:firstLine="26"/>
              <w:jc w:val="both"/>
              <w:rPr>
                <w:sz w:val="24"/>
              </w:rPr>
            </w:pPr>
            <w:r>
              <w:rPr>
                <w:sz w:val="24"/>
              </w:rPr>
              <w:t>理措施内容，进一步核实土石方工程数量和采取的环保措施，细化环</w:t>
            </w:r>
            <w:r>
              <w:rPr>
                <w:w w:val="95"/>
                <w:sz w:val="24"/>
              </w:rPr>
              <w:t>境空气等影响分析内容，见</w:t>
            </w:r>
            <w:r>
              <w:rPr>
                <w:rFonts w:ascii="Times New Roman" w:eastAsia="Times New Roman"/>
                <w:w w:val="95"/>
                <w:sz w:val="24"/>
              </w:rPr>
              <w:t>P39~44</w:t>
            </w:r>
            <w:r>
              <w:rPr>
                <w:w w:val="95"/>
                <w:sz w:val="24"/>
              </w:rPr>
              <w:t>。</w:t>
            </w:r>
          </w:p>
        </w:tc>
      </w:tr>
      <w:tr>
        <w:trPr>
          <w:trHeight w:val="1256"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5</w:t>
            </w:r>
          </w:p>
        </w:tc>
        <w:tc>
          <w:tcPr>
            <w:tcW w:w="3841" w:type="dxa"/>
          </w:tcPr>
          <w:p>
            <w:pPr>
              <w:pStyle w:val="TableParagraph"/>
              <w:spacing w:line="273" w:lineRule="exact"/>
              <w:ind w:left="95" w:right="95"/>
              <w:rPr>
                <w:sz w:val="24"/>
              </w:rPr>
            </w:pPr>
            <w:r>
              <w:rPr>
                <w:sz w:val="24"/>
              </w:rPr>
              <w:t>校核声环境质量标准，细化噪声控</w:t>
            </w:r>
          </w:p>
          <w:p>
            <w:pPr>
              <w:pStyle w:val="TableParagraph"/>
              <w:spacing w:line="237" w:lineRule="auto" w:before="1"/>
              <w:ind w:left="96" w:right="95"/>
              <w:rPr>
                <w:sz w:val="24"/>
              </w:rPr>
            </w:pPr>
            <w:r>
              <w:rPr>
                <w:sz w:val="24"/>
              </w:rPr>
              <w:t>制措施，校核噪声影响预测结果，结合项目外环境敏感目标完善声环境影响分析。</w:t>
            </w:r>
          </w:p>
        </w:tc>
        <w:tc>
          <w:tcPr>
            <w:tcW w:w="3874" w:type="dxa"/>
          </w:tcPr>
          <w:p>
            <w:pPr>
              <w:pStyle w:val="TableParagraph"/>
              <w:spacing w:line="273" w:lineRule="exact"/>
              <w:ind w:left="107" w:right="113"/>
              <w:rPr>
                <w:sz w:val="24"/>
              </w:rPr>
            </w:pPr>
            <w:r>
              <w:rPr>
                <w:sz w:val="24"/>
              </w:rPr>
              <w:t>已校核声环境质量标准，细化噪声</w:t>
            </w:r>
          </w:p>
          <w:p>
            <w:pPr>
              <w:pStyle w:val="TableParagraph"/>
              <w:spacing w:line="237" w:lineRule="auto" w:before="1"/>
              <w:ind w:left="103" w:right="-14"/>
              <w:rPr>
                <w:rFonts w:ascii="Times New Roman" w:eastAsia="Times New Roman"/>
                <w:sz w:val="24"/>
              </w:rPr>
            </w:pPr>
            <w:r>
              <w:rPr>
                <w:spacing w:val="-8"/>
                <w:sz w:val="24"/>
              </w:rPr>
              <w:t>控制措施，校核噪声影响预测结果，结合项目外环境敏感目标完善声环</w:t>
            </w:r>
            <w:r>
              <w:rPr>
                <w:spacing w:val="-15"/>
                <w:sz w:val="24"/>
              </w:rPr>
              <w:t>境影响分析，见 </w:t>
            </w:r>
            <w:r>
              <w:rPr>
                <w:rFonts w:ascii="Times New Roman" w:eastAsia="Times New Roman"/>
                <w:sz w:val="24"/>
              </w:rPr>
              <w:t>P46~53</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6</w:t>
            </w:r>
          </w:p>
        </w:tc>
        <w:tc>
          <w:tcPr>
            <w:tcW w:w="3841" w:type="dxa"/>
          </w:tcPr>
          <w:p>
            <w:pPr>
              <w:pStyle w:val="TableParagraph"/>
              <w:spacing w:line="273" w:lineRule="exact"/>
              <w:ind w:left="95" w:right="95"/>
              <w:rPr>
                <w:sz w:val="24"/>
              </w:rPr>
            </w:pPr>
            <w:r>
              <w:rPr>
                <w:sz w:val="24"/>
              </w:rPr>
              <w:t>校核项目主要污染物产生及预计排</w:t>
            </w:r>
          </w:p>
          <w:p>
            <w:pPr>
              <w:pStyle w:val="TableParagraph"/>
              <w:spacing w:line="237" w:lineRule="auto" w:before="1"/>
              <w:ind w:left="97" w:right="95"/>
              <w:rPr>
                <w:sz w:val="24"/>
              </w:rPr>
            </w:pPr>
            <w:r>
              <w:rPr>
                <w:sz w:val="24"/>
              </w:rPr>
              <w:t>放情况表及环保投资估算一览表内容，细化环境风险事故及防范措施分析。 </w:t>
            </w:r>
          </w:p>
        </w:tc>
        <w:tc>
          <w:tcPr>
            <w:tcW w:w="3874" w:type="dxa"/>
          </w:tcPr>
          <w:p>
            <w:pPr>
              <w:pStyle w:val="TableParagraph"/>
              <w:spacing w:line="273" w:lineRule="exact"/>
              <w:ind w:left="109" w:right="112"/>
              <w:rPr>
                <w:sz w:val="24"/>
              </w:rPr>
            </w:pPr>
            <w:r>
              <w:rPr>
                <w:sz w:val="24"/>
              </w:rPr>
              <w:t>已校核项目主要污染物产生及预计</w:t>
            </w:r>
          </w:p>
          <w:p>
            <w:pPr>
              <w:pStyle w:val="TableParagraph"/>
              <w:spacing w:line="237" w:lineRule="auto" w:before="1"/>
              <w:ind w:left="108" w:right="113"/>
              <w:rPr>
                <w:rFonts w:ascii="Times New Roman" w:eastAsia="Times New Roman"/>
                <w:sz w:val="24"/>
              </w:rPr>
            </w:pPr>
            <w:r>
              <w:rPr>
                <w:sz w:val="24"/>
              </w:rPr>
              <w:t>排放情况表及环保投资估算一览表内容，细化环境风险事故及防范措施分析，见 </w:t>
            </w:r>
            <w:r>
              <w:rPr>
                <w:rFonts w:ascii="Times New Roman" w:eastAsia="Times New Roman"/>
                <w:sz w:val="24"/>
              </w:rPr>
              <w:t>53~55</w:t>
            </w:r>
          </w:p>
        </w:tc>
      </w:tr>
      <w:tr>
        <w:trPr>
          <w:trHeight w:val="634" w:hRule="exact"/>
        </w:trPr>
        <w:tc>
          <w:tcPr>
            <w:tcW w:w="816" w:type="dxa"/>
          </w:tcPr>
          <w:p>
            <w:pPr>
              <w:pStyle w:val="TableParagraph"/>
              <w:spacing w:before="169"/>
              <w:rPr>
                <w:rFonts w:ascii="Times New Roman"/>
                <w:b/>
                <w:sz w:val="24"/>
              </w:rPr>
            </w:pPr>
            <w:r>
              <w:rPr>
                <w:rFonts w:ascii="Times New Roman"/>
                <w:b/>
                <w:sz w:val="24"/>
              </w:rPr>
              <w:t>7</w:t>
            </w:r>
          </w:p>
        </w:tc>
        <w:tc>
          <w:tcPr>
            <w:tcW w:w="3841" w:type="dxa"/>
          </w:tcPr>
          <w:p>
            <w:pPr>
              <w:pStyle w:val="TableParagraph"/>
              <w:spacing w:before="115"/>
              <w:ind w:left="715"/>
              <w:jc w:val="left"/>
              <w:rPr>
                <w:sz w:val="24"/>
              </w:rPr>
            </w:pPr>
            <w:r>
              <w:rPr>
                <w:sz w:val="24"/>
              </w:rPr>
              <w:t>校核文本，完善附件。 </w:t>
            </w:r>
          </w:p>
        </w:tc>
        <w:tc>
          <w:tcPr>
            <w:tcW w:w="3874" w:type="dxa"/>
          </w:tcPr>
          <w:p>
            <w:pPr>
              <w:pStyle w:val="TableParagraph"/>
              <w:spacing w:line="273" w:lineRule="exact"/>
              <w:ind w:left="109" w:right="111"/>
              <w:rPr>
                <w:sz w:val="24"/>
              </w:rPr>
            </w:pPr>
            <w:r>
              <w:rPr>
                <w:sz w:val="24"/>
              </w:rPr>
              <w:t>已校核文本，完善附件，见全文及</w:t>
            </w:r>
          </w:p>
          <w:p>
            <w:pPr>
              <w:pStyle w:val="TableParagraph"/>
              <w:spacing w:line="313" w:lineRule="exact"/>
              <w:ind w:left="109" w:right="112"/>
              <w:rPr>
                <w:sz w:val="24"/>
              </w:rPr>
            </w:pPr>
            <w:r>
              <w:rPr>
                <w:sz w:val="24"/>
              </w:rPr>
              <w:t>附件</w:t>
            </w:r>
          </w:p>
        </w:tc>
      </w:tr>
    </w:tbl>
    <w:p>
      <w:pPr>
        <w:spacing w:after="0" w:line="313" w:lineRule="exact"/>
        <w:rPr>
          <w:sz w:val="24"/>
        </w:rPr>
        <w:sectPr>
          <w:pgSz w:w="11910" w:h="16850"/>
          <w:pgMar w:top="1600" w:bottom="280" w:left="1580" w:right="1560"/>
        </w:sectPr>
      </w:pPr>
    </w:p>
    <w:p>
      <w:pPr>
        <w:spacing w:line="406" w:lineRule="exact" w:before="0"/>
        <w:ind w:left="1555" w:right="0" w:firstLine="0"/>
        <w:jc w:val="left"/>
        <w:rPr>
          <w:sz w:val="32"/>
        </w:rPr>
      </w:pPr>
      <w:r>
        <w:rPr>
          <w:w w:val="95"/>
          <w:sz w:val="32"/>
        </w:rPr>
        <w:t>《建设项目环境影响报告表》编制说明</w:t>
      </w:r>
    </w:p>
    <w:p>
      <w:pPr>
        <w:spacing w:line="475" w:lineRule="auto" w:before="208"/>
        <w:ind w:left="118" w:right="0" w:firstLine="479"/>
        <w:jc w:val="left"/>
        <w:rPr>
          <w:sz w:val="28"/>
        </w:rPr>
      </w:pPr>
      <w:r>
        <w:rPr>
          <w:sz w:val="28"/>
        </w:rPr>
        <w:t>《建设项目环境影响报告表》由具有从事环境影响评价工作资质的单位编制。</w:t>
      </w:r>
    </w:p>
    <w:p>
      <w:pPr>
        <w:pStyle w:val="ListParagraph"/>
        <w:numPr>
          <w:ilvl w:val="0"/>
          <w:numId w:val="1"/>
        </w:numPr>
        <w:tabs>
          <w:tab w:pos="1028" w:val="left" w:leader="none"/>
        </w:tabs>
        <w:spacing w:line="391" w:lineRule="auto" w:before="85" w:after="0"/>
        <w:ind w:left="118" w:right="251" w:firstLine="559"/>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
          <w:sz w:val="28"/>
        </w:rPr>
        <w:t> </w:t>
      </w:r>
      <w:r>
        <w:rPr>
          <w:spacing w:val="-70"/>
          <w:sz w:val="28"/>
        </w:rPr>
        <w:t>个字</w:t>
      </w:r>
      <w:r>
        <w:rPr>
          <w:spacing w:val="-3"/>
          <w:sz w:val="28"/>
        </w:rPr>
        <w:t>（</w:t>
      </w:r>
      <w:r>
        <w:rPr>
          <w:sz w:val="28"/>
        </w:rPr>
        <w:t>两</w:t>
      </w:r>
      <w:r>
        <w:rPr>
          <w:spacing w:val="-3"/>
          <w:sz w:val="28"/>
        </w:rPr>
        <w:t>个英文字段作一个汉字</w:t>
      </w:r>
      <w:r>
        <w:rPr>
          <w:spacing w:val="-142"/>
          <w:sz w:val="28"/>
        </w:rPr>
        <w:t>）</w:t>
      </w:r>
      <w:r>
        <w:rPr>
          <w:sz w:val="28"/>
        </w:rPr>
        <w:t>。</w:t>
      </w:r>
    </w:p>
    <w:p>
      <w:pPr>
        <w:pStyle w:val="ListParagraph"/>
        <w:numPr>
          <w:ilvl w:val="0"/>
          <w:numId w:val="1"/>
        </w:numPr>
        <w:tabs>
          <w:tab w:pos="1033" w:val="left" w:leader="none"/>
        </w:tabs>
        <w:spacing w:line="393" w:lineRule="auto" w:before="93" w:after="0"/>
        <w:ind w:left="118" w:right="254" w:firstLine="559"/>
        <w:jc w:val="left"/>
        <w:rPr>
          <w:sz w:val="28"/>
        </w:rPr>
      </w:pPr>
      <w:r>
        <w:rPr>
          <w:spacing w:val="3"/>
          <w:sz w:val="28"/>
        </w:rPr>
        <w:t>建设地点</w:t>
      </w:r>
      <w:r>
        <w:rPr>
          <w:rFonts w:ascii="Times New Roman" w:hAnsi="Times New Roman" w:eastAsia="Times New Roman"/>
          <w:sz w:val="28"/>
        </w:rPr>
        <w:t>——</w:t>
      </w:r>
      <w:r>
        <w:rPr>
          <w:sz w:val="28"/>
        </w:rPr>
        <w:t>指项目所在地详细地址，公路、铁路应填写起止地点。</w:t>
      </w:r>
    </w:p>
    <w:p>
      <w:pPr>
        <w:pStyle w:val="ListParagraph"/>
        <w:numPr>
          <w:ilvl w:val="0"/>
          <w:numId w:val="1"/>
        </w:numPr>
        <w:tabs>
          <w:tab w:pos="1028" w:val="left" w:leader="none"/>
        </w:tabs>
        <w:spacing w:line="240" w:lineRule="auto" w:before="90" w:after="0"/>
        <w:ind w:left="1027" w:right="0" w:hanging="350"/>
        <w:jc w:val="left"/>
        <w:rPr>
          <w:sz w:val="28"/>
        </w:rPr>
      </w:pPr>
      <w:r>
        <w:rPr>
          <w:spacing w:val="-1"/>
          <w:sz w:val="28"/>
        </w:rPr>
        <w:t>行业类别</w:t>
      </w:r>
      <w:r>
        <w:rPr>
          <w:rFonts w:ascii="Times New Roman" w:hAnsi="Times New Roman" w:eastAsia="Times New Roman"/>
          <w:sz w:val="28"/>
        </w:rPr>
        <w:t>——</w:t>
      </w:r>
      <w:r>
        <w:rPr>
          <w:spacing w:val="-3"/>
          <w:sz w:val="28"/>
        </w:rPr>
        <w:t>按国标填写。</w:t>
      </w:r>
    </w:p>
    <w:p>
      <w:pPr>
        <w:pStyle w:val="ListParagraph"/>
        <w:numPr>
          <w:ilvl w:val="0"/>
          <w:numId w:val="1"/>
        </w:numPr>
        <w:tabs>
          <w:tab w:pos="1028" w:val="left" w:leader="none"/>
        </w:tabs>
        <w:spacing w:line="240" w:lineRule="auto" w:before="245" w:after="0"/>
        <w:ind w:left="1027" w:right="0" w:hanging="350"/>
        <w:jc w:val="left"/>
        <w:rPr>
          <w:sz w:val="28"/>
        </w:rPr>
      </w:pPr>
      <w:r>
        <w:rPr>
          <w:spacing w:val="-1"/>
          <w:sz w:val="28"/>
        </w:rPr>
        <w:t>总投资</w:t>
      </w:r>
      <w:r>
        <w:rPr>
          <w:rFonts w:ascii="Times New Roman" w:hAnsi="Times New Roman" w:eastAsia="Times New Roman"/>
          <w:sz w:val="28"/>
        </w:rPr>
        <w:t>——</w:t>
      </w:r>
      <w:r>
        <w:rPr>
          <w:spacing w:val="-3"/>
          <w:sz w:val="28"/>
        </w:rPr>
        <w:t>指项目投资总额。</w:t>
      </w:r>
    </w:p>
    <w:p>
      <w:pPr>
        <w:pStyle w:val="ListParagraph"/>
        <w:numPr>
          <w:ilvl w:val="0"/>
          <w:numId w:val="1"/>
        </w:numPr>
        <w:tabs>
          <w:tab w:pos="1033" w:val="left" w:leader="none"/>
        </w:tabs>
        <w:spacing w:line="405" w:lineRule="auto" w:before="247" w:after="0"/>
        <w:ind w:left="118" w:right="114" w:firstLine="559"/>
        <w:jc w:val="left"/>
        <w:rPr>
          <w:sz w:val="28"/>
        </w:rPr>
      </w:pPr>
      <w:r>
        <w:rPr>
          <w:spacing w:val="2"/>
          <w:sz w:val="28"/>
        </w:rPr>
        <w:t>主要环境保护目标</w:t>
      </w:r>
      <w:r>
        <w:rPr>
          <w:rFonts w:ascii="Times New Roman" w:hAnsi="Times New Roman" w:eastAsia="Times New Roman"/>
          <w:sz w:val="28"/>
        </w:rPr>
        <w:t>——</w:t>
      </w:r>
      <w:r>
        <w:rPr>
          <w:sz w:val="28"/>
        </w:rPr>
        <w:t>指项目区周围一定范围内集中居民住</w:t>
      </w:r>
      <w:r>
        <w:rPr>
          <w:spacing w:val="-19"/>
          <w:sz w:val="28"/>
        </w:rPr>
        <w:t>宅区、学校、医院、保护文物、风景名胜区、水源地和生态敏感点等， </w:t>
      </w:r>
      <w:r>
        <w:rPr>
          <w:spacing w:val="-8"/>
          <w:sz w:val="28"/>
        </w:rPr>
        <w:t>应尽可能给出保护目标、性质、规模和距厂界距离等。</w:t>
      </w:r>
    </w:p>
    <w:p>
      <w:pPr>
        <w:pStyle w:val="ListParagraph"/>
        <w:numPr>
          <w:ilvl w:val="0"/>
          <w:numId w:val="1"/>
        </w:numPr>
        <w:tabs>
          <w:tab w:pos="1033" w:val="left" w:leader="none"/>
        </w:tabs>
        <w:spacing w:line="408" w:lineRule="auto" w:before="75" w:after="0"/>
        <w:ind w:left="118" w:right="253" w:firstLine="559"/>
        <w:jc w:val="both"/>
        <w:rPr>
          <w:sz w:val="28"/>
        </w:rPr>
      </w:pPr>
      <w:r>
        <w:rPr>
          <w:spacing w:val="3"/>
          <w:sz w:val="28"/>
        </w:rPr>
        <w:t>结论与建议</w:t>
      </w:r>
      <w:r>
        <w:rPr>
          <w:rFonts w:ascii="Times New Roman" w:hAnsi="Times New Roman" w:eastAsia="Times New Roman"/>
          <w:sz w:val="28"/>
        </w:rPr>
        <w:t>——</w:t>
      </w:r>
      <w:r>
        <w:rPr>
          <w:sz w:val="28"/>
        </w:rPr>
        <w:t>给出本项目清洁生产、达标排放和总量控制</w:t>
      </w:r>
      <w:r>
        <w:rPr>
          <w:spacing w:val="-10"/>
          <w:sz w:val="28"/>
        </w:rPr>
        <w:t>的分析结论，确定污染防治措施的有效性，说明本项目对环境造成的</w:t>
      </w:r>
      <w:r>
        <w:rPr>
          <w:spacing w:val="-11"/>
          <w:sz w:val="28"/>
        </w:rPr>
        <w:t>影响，给出建设项目环境可行性的明确结论。同时提出减少环境影响</w:t>
      </w:r>
      <w:r>
        <w:rPr>
          <w:spacing w:val="-7"/>
          <w:sz w:val="28"/>
        </w:rPr>
        <w:t>的其他建议。</w:t>
      </w:r>
    </w:p>
    <w:p>
      <w:pPr>
        <w:pStyle w:val="ListParagraph"/>
        <w:numPr>
          <w:ilvl w:val="0"/>
          <w:numId w:val="1"/>
        </w:numPr>
        <w:tabs>
          <w:tab w:pos="1033" w:val="left" w:leader="none"/>
        </w:tabs>
        <w:spacing w:line="391" w:lineRule="auto" w:before="73" w:after="0"/>
        <w:ind w:left="118" w:right="254" w:firstLine="559"/>
        <w:jc w:val="left"/>
        <w:rPr>
          <w:sz w:val="28"/>
        </w:rPr>
      </w:pPr>
      <w:r>
        <w:rPr>
          <w:spacing w:val="3"/>
          <w:sz w:val="28"/>
        </w:rPr>
        <w:t>预审意见</w:t>
      </w:r>
      <w:r>
        <w:rPr>
          <w:rFonts w:ascii="Times New Roman" w:hAnsi="Times New Roman" w:eastAsia="Times New Roman"/>
          <w:sz w:val="28"/>
        </w:rPr>
        <w:t>——</w:t>
      </w:r>
      <w:r>
        <w:rPr>
          <w:sz w:val="28"/>
        </w:rPr>
        <w:t>由行业主管部门填写答复意见，无主管部门项</w:t>
      </w:r>
      <w:r>
        <w:rPr>
          <w:spacing w:val="-1"/>
          <w:sz w:val="28"/>
        </w:rPr>
        <w:t>目，可不填。</w:t>
      </w:r>
    </w:p>
    <w:p>
      <w:pPr>
        <w:pStyle w:val="ListParagraph"/>
        <w:numPr>
          <w:ilvl w:val="0"/>
          <w:numId w:val="1"/>
        </w:numPr>
        <w:tabs>
          <w:tab w:pos="1033" w:val="left" w:leader="none"/>
        </w:tabs>
        <w:spacing w:line="393" w:lineRule="auto" w:before="92" w:after="0"/>
        <w:ind w:left="118" w:right="244" w:firstLine="559"/>
        <w:jc w:val="left"/>
        <w:rPr>
          <w:sz w:val="28"/>
        </w:rPr>
      </w:pPr>
      <w:r>
        <w:rPr>
          <w:spacing w:val="3"/>
          <w:sz w:val="28"/>
        </w:rPr>
        <w:t>审批意见</w:t>
      </w:r>
      <w:r>
        <w:rPr>
          <w:rFonts w:ascii="Times New Roman" w:hAnsi="Times New Roman" w:eastAsia="Times New Roman"/>
          <w:sz w:val="28"/>
        </w:rPr>
        <w:t>——</w:t>
      </w:r>
      <w:r>
        <w:rPr>
          <w:sz w:val="28"/>
        </w:rPr>
        <w:t>由负责审批该项目的环境保护行政主管部门批复。</w:t>
      </w:r>
    </w:p>
    <w:p>
      <w:pPr>
        <w:spacing w:after="0" w:line="393" w:lineRule="auto"/>
        <w:jc w:val="left"/>
        <w:rPr>
          <w:sz w:val="28"/>
        </w:rPr>
        <w:sectPr>
          <w:pgSz w:w="11910" w:h="16850"/>
          <w:pgMar w:top="1400" w:bottom="280" w:left="1680" w:right="1540"/>
        </w:sectPr>
      </w:pPr>
    </w:p>
    <w:p>
      <w:pPr>
        <w:pStyle w:val="Heading1"/>
        <w:tabs>
          <w:tab w:pos="7297" w:val="left" w:leader="none"/>
        </w:tabs>
      </w:pPr>
      <w:r>
        <w:rPr/>
        <w:t>建设项目基本情况</w:t>
        <w:tab/>
      </w:r>
      <w:r>
        <w:rPr>
          <w:w w:val="95"/>
        </w:rPr>
        <w:t>（表一）</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3"/>
        <w:gridCol w:w="1162"/>
        <w:gridCol w:w="886"/>
        <w:gridCol w:w="677"/>
        <w:gridCol w:w="281"/>
        <w:gridCol w:w="632"/>
        <w:gridCol w:w="170"/>
        <w:gridCol w:w="252"/>
        <w:gridCol w:w="382"/>
        <w:gridCol w:w="701"/>
        <w:gridCol w:w="204"/>
        <w:gridCol w:w="1700"/>
      </w:tblGrid>
      <w:tr>
        <w:trPr>
          <w:trHeight w:val="322" w:hRule="exact"/>
        </w:trPr>
        <w:tc>
          <w:tcPr>
            <w:tcW w:w="1483" w:type="dxa"/>
          </w:tcPr>
          <w:p>
            <w:pPr>
              <w:pStyle w:val="TableParagraph"/>
              <w:spacing w:line="274" w:lineRule="exact"/>
              <w:ind w:left="68" w:right="68"/>
              <w:rPr>
                <w:sz w:val="24"/>
              </w:rPr>
            </w:pPr>
            <w:r>
              <w:rPr>
                <w:sz w:val="24"/>
              </w:rPr>
              <w:t>项目名称</w:t>
            </w:r>
          </w:p>
        </w:tc>
        <w:tc>
          <w:tcPr>
            <w:tcW w:w="7046" w:type="dxa"/>
            <w:gridSpan w:val="11"/>
          </w:tcPr>
          <w:p>
            <w:pPr>
              <w:pStyle w:val="TableParagraph"/>
              <w:spacing w:line="292" w:lineRule="exact"/>
              <w:ind w:left="1447"/>
              <w:jc w:val="left"/>
              <w:rPr>
                <w:sz w:val="24"/>
              </w:rPr>
            </w:pPr>
            <w:r>
              <w:rPr>
                <w:sz w:val="24"/>
              </w:rPr>
              <w:t>滨水景观 </w:t>
            </w:r>
            <w:r>
              <w:rPr>
                <w:rFonts w:ascii="Times New Roman" w:eastAsia="Times New Roman"/>
                <w:sz w:val="24"/>
              </w:rPr>
              <w:t>3#</w:t>
            </w:r>
            <w:r>
              <w:rPr>
                <w:sz w:val="24"/>
              </w:rPr>
              <w:t>桥连接峨城大道段道路工程</w:t>
            </w:r>
          </w:p>
        </w:tc>
      </w:tr>
      <w:tr>
        <w:trPr>
          <w:trHeight w:val="322" w:hRule="exact"/>
        </w:trPr>
        <w:tc>
          <w:tcPr>
            <w:tcW w:w="1483" w:type="dxa"/>
          </w:tcPr>
          <w:p>
            <w:pPr>
              <w:pStyle w:val="TableParagraph"/>
              <w:spacing w:line="274" w:lineRule="exact"/>
              <w:ind w:left="68" w:right="68"/>
              <w:rPr>
                <w:sz w:val="24"/>
              </w:rPr>
            </w:pPr>
            <w:r>
              <w:rPr>
                <w:sz w:val="24"/>
              </w:rPr>
              <w:t>建设单位</w:t>
            </w:r>
          </w:p>
        </w:tc>
        <w:tc>
          <w:tcPr>
            <w:tcW w:w="7046" w:type="dxa"/>
            <w:gridSpan w:val="11"/>
          </w:tcPr>
          <w:p>
            <w:pPr>
              <w:pStyle w:val="TableParagraph"/>
              <w:spacing w:line="274" w:lineRule="exact"/>
              <w:ind w:left="1956"/>
              <w:jc w:val="left"/>
              <w:rPr>
                <w:sz w:val="24"/>
              </w:rPr>
            </w:pPr>
            <w:r>
              <w:rPr>
                <w:sz w:val="24"/>
              </w:rPr>
              <w:t>开江县住房和城乡规划建设局</w:t>
            </w:r>
          </w:p>
        </w:tc>
      </w:tr>
      <w:tr>
        <w:trPr>
          <w:trHeight w:val="322" w:hRule="exact"/>
        </w:trPr>
        <w:tc>
          <w:tcPr>
            <w:tcW w:w="1483" w:type="dxa"/>
          </w:tcPr>
          <w:p>
            <w:pPr>
              <w:pStyle w:val="TableParagraph"/>
              <w:spacing w:line="274" w:lineRule="exact"/>
              <w:ind w:left="68" w:right="68"/>
              <w:rPr>
                <w:sz w:val="24"/>
              </w:rPr>
            </w:pPr>
            <w:r>
              <w:rPr>
                <w:sz w:val="24"/>
              </w:rPr>
              <w:t>法人代表</w:t>
            </w:r>
          </w:p>
        </w:tc>
        <w:tc>
          <w:tcPr>
            <w:tcW w:w="2725" w:type="dxa"/>
            <w:gridSpan w:val="3"/>
          </w:tcPr>
          <w:p>
            <w:pPr>
              <w:pStyle w:val="TableParagraph"/>
              <w:spacing w:line="274" w:lineRule="exact"/>
              <w:ind w:left="977" w:right="978"/>
              <w:rPr>
                <w:sz w:val="24"/>
              </w:rPr>
            </w:pPr>
            <w:r>
              <w:rPr>
                <w:sz w:val="24"/>
              </w:rPr>
              <w:t>余耀明</w:t>
            </w:r>
          </w:p>
        </w:tc>
        <w:tc>
          <w:tcPr>
            <w:tcW w:w="1716" w:type="dxa"/>
            <w:gridSpan w:val="5"/>
          </w:tcPr>
          <w:p>
            <w:pPr>
              <w:pStyle w:val="TableParagraph"/>
              <w:spacing w:line="274" w:lineRule="exact"/>
              <w:ind w:left="492"/>
              <w:jc w:val="left"/>
              <w:rPr>
                <w:sz w:val="24"/>
              </w:rPr>
            </w:pPr>
            <w:r>
              <w:rPr>
                <w:sz w:val="24"/>
              </w:rPr>
              <w:t>联系人</w:t>
            </w:r>
          </w:p>
        </w:tc>
        <w:tc>
          <w:tcPr>
            <w:tcW w:w="2605" w:type="dxa"/>
            <w:gridSpan w:val="3"/>
          </w:tcPr>
          <w:p>
            <w:pPr>
              <w:pStyle w:val="TableParagraph"/>
              <w:spacing w:line="274" w:lineRule="exact"/>
              <w:ind w:left="1096" w:right="979"/>
              <w:rPr>
                <w:sz w:val="24"/>
              </w:rPr>
            </w:pPr>
            <w:r>
              <w:rPr>
                <w:sz w:val="24"/>
              </w:rPr>
              <w:t>张洋 </w:t>
            </w:r>
          </w:p>
        </w:tc>
      </w:tr>
      <w:tr>
        <w:trPr>
          <w:trHeight w:val="322" w:hRule="exact"/>
        </w:trPr>
        <w:tc>
          <w:tcPr>
            <w:tcW w:w="1483" w:type="dxa"/>
          </w:tcPr>
          <w:p>
            <w:pPr>
              <w:pStyle w:val="TableParagraph"/>
              <w:spacing w:line="274" w:lineRule="exact"/>
              <w:ind w:left="68" w:right="68"/>
              <w:rPr>
                <w:sz w:val="24"/>
              </w:rPr>
            </w:pPr>
            <w:r>
              <w:rPr>
                <w:sz w:val="24"/>
              </w:rPr>
              <w:t>通讯地址</w:t>
            </w:r>
          </w:p>
        </w:tc>
        <w:tc>
          <w:tcPr>
            <w:tcW w:w="7046" w:type="dxa"/>
            <w:gridSpan w:val="11"/>
          </w:tcPr>
          <w:p>
            <w:pPr>
              <w:pStyle w:val="TableParagraph"/>
              <w:spacing w:line="292" w:lineRule="exact"/>
              <w:ind w:left="2076"/>
              <w:jc w:val="left"/>
              <w:rPr>
                <w:sz w:val="24"/>
              </w:rPr>
            </w:pPr>
            <w:r>
              <w:rPr>
                <w:sz w:val="24"/>
              </w:rPr>
              <w:t>达州市开江县新宁路 </w:t>
            </w:r>
            <w:r>
              <w:rPr>
                <w:rFonts w:ascii="Times New Roman" w:eastAsia="Times New Roman"/>
                <w:sz w:val="24"/>
              </w:rPr>
              <w:t>317 </w:t>
            </w:r>
            <w:r>
              <w:rPr>
                <w:sz w:val="24"/>
              </w:rPr>
              <w:t>号</w:t>
            </w:r>
          </w:p>
        </w:tc>
      </w:tr>
      <w:tr>
        <w:trPr>
          <w:trHeight w:val="319" w:hRule="exact"/>
        </w:trPr>
        <w:tc>
          <w:tcPr>
            <w:tcW w:w="1483" w:type="dxa"/>
          </w:tcPr>
          <w:p>
            <w:pPr>
              <w:pStyle w:val="TableParagraph"/>
              <w:spacing w:line="274" w:lineRule="exact"/>
              <w:ind w:left="68" w:right="68"/>
              <w:rPr>
                <w:sz w:val="24"/>
              </w:rPr>
            </w:pPr>
            <w:r>
              <w:rPr>
                <w:sz w:val="24"/>
              </w:rPr>
              <w:t>联系电话</w:t>
            </w:r>
          </w:p>
        </w:tc>
        <w:tc>
          <w:tcPr>
            <w:tcW w:w="2048" w:type="dxa"/>
            <w:gridSpan w:val="2"/>
          </w:tcPr>
          <w:p>
            <w:pPr>
              <w:pStyle w:val="TableParagraph"/>
              <w:spacing w:before="8"/>
              <w:ind w:left="357"/>
              <w:jc w:val="left"/>
              <w:rPr>
                <w:rFonts w:ascii="Times New Roman"/>
                <w:sz w:val="24"/>
              </w:rPr>
            </w:pPr>
            <w:r>
              <w:rPr>
                <w:rFonts w:ascii="Times New Roman"/>
                <w:sz w:val="24"/>
              </w:rPr>
              <w:t>18781894868</w:t>
            </w:r>
          </w:p>
        </w:tc>
        <w:tc>
          <w:tcPr>
            <w:tcW w:w="958" w:type="dxa"/>
            <w:gridSpan w:val="2"/>
          </w:tcPr>
          <w:p>
            <w:pPr>
              <w:pStyle w:val="TableParagraph"/>
              <w:spacing w:line="274" w:lineRule="exact"/>
              <w:ind w:left="232"/>
              <w:jc w:val="left"/>
              <w:rPr>
                <w:sz w:val="24"/>
              </w:rPr>
            </w:pPr>
            <w:r>
              <w:rPr>
                <w:sz w:val="24"/>
              </w:rPr>
              <w:t>传真</w:t>
            </w:r>
          </w:p>
        </w:tc>
        <w:tc>
          <w:tcPr>
            <w:tcW w:w="632" w:type="dxa"/>
          </w:tcPr>
          <w:p>
            <w:pPr>
              <w:pStyle w:val="TableParagraph"/>
              <w:spacing w:before="8"/>
              <w:rPr>
                <w:rFonts w:ascii="Times New Roman"/>
                <w:sz w:val="24"/>
              </w:rPr>
            </w:pPr>
            <w:r>
              <w:rPr>
                <w:rFonts w:ascii="Times New Roman"/>
                <w:sz w:val="24"/>
              </w:rPr>
              <w:t>/</w:t>
            </w:r>
          </w:p>
        </w:tc>
        <w:tc>
          <w:tcPr>
            <w:tcW w:w="1505" w:type="dxa"/>
            <w:gridSpan w:val="4"/>
          </w:tcPr>
          <w:p>
            <w:pPr>
              <w:pStyle w:val="TableParagraph"/>
              <w:spacing w:line="274" w:lineRule="exact"/>
              <w:ind w:left="345"/>
              <w:jc w:val="left"/>
              <w:rPr>
                <w:sz w:val="24"/>
              </w:rPr>
            </w:pPr>
            <w:r>
              <w:rPr>
                <w:sz w:val="24"/>
              </w:rPr>
              <w:t>邮政编码</w:t>
            </w:r>
          </w:p>
        </w:tc>
        <w:tc>
          <w:tcPr>
            <w:tcW w:w="1904" w:type="dxa"/>
            <w:gridSpan w:val="2"/>
          </w:tcPr>
          <w:p>
            <w:pPr>
              <w:pStyle w:val="TableParagraph"/>
              <w:spacing w:before="8"/>
              <w:ind w:left="586"/>
              <w:jc w:val="left"/>
              <w:rPr>
                <w:rFonts w:ascii="Times New Roman"/>
                <w:sz w:val="24"/>
              </w:rPr>
            </w:pPr>
            <w:r>
              <w:rPr>
                <w:rFonts w:ascii="Times New Roman"/>
                <w:sz w:val="24"/>
              </w:rPr>
              <w:t>610100</w:t>
            </w:r>
          </w:p>
        </w:tc>
      </w:tr>
      <w:tr>
        <w:trPr>
          <w:trHeight w:val="322" w:hRule="exact"/>
        </w:trPr>
        <w:tc>
          <w:tcPr>
            <w:tcW w:w="1483" w:type="dxa"/>
          </w:tcPr>
          <w:p>
            <w:pPr>
              <w:pStyle w:val="TableParagraph"/>
              <w:spacing w:line="276" w:lineRule="exact"/>
              <w:ind w:left="68" w:right="68"/>
              <w:rPr>
                <w:sz w:val="24"/>
              </w:rPr>
            </w:pPr>
            <w:r>
              <w:rPr>
                <w:sz w:val="24"/>
              </w:rPr>
              <w:t>建设地点</w:t>
            </w:r>
          </w:p>
        </w:tc>
        <w:tc>
          <w:tcPr>
            <w:tcW w:w="7046" w:type="dxa"/>
            <w:gridSpan w:val="11"/>
          </w:tcPr>
          <w:p>
            <w:pPr>
              <w:pStyle w:val="TableParagraph"/>
              <w:spacing w:line="276" w:lineRule="exact"/>
              <w:ind w:left="2778" w:right="2778"/>
              <w:rPr>
                <w:sz w:val="24"/>
              </w:rPr>
            </w:pPr>
            <w:r>
              <w:rPr>
                <w:sz w:val="24"/>
              </w:rPr>
              <w:t>开江县新宁镇</w:t>
            </w:r>
          </w:p>
        </w:tc>
      </w:tr>
      <w:tr>
        <w:trPr>
          <w:trHeight w:val="322" w:hRule="exact"/>
        </w:trPr>
        <w:tc>
          <w:tcPr>
            <w:tcW w:w="1483" w:type="dxa"/>
          </w:tcPr>
          <w:p>
            <w:pPr>
              <w:pStyle w:val="TableParagraph"/>
              <w:spacing w:line="274" w:lineRule="exact"/>
              <w:ind w:left="68" w:right="135"/>
              <w:rPr>
                <w:sz w:val="24"/>
              </w:rPr>
            </w:pPr>
            <w:r>
              <w:rPr>
                <w:spacing w:val="-35"/>
                <w:sz w:val="24"/>
              </w:rPr>
              <w:t>立项审批部门</w:t>
            </w:r>
          </w:p>
        </w:tc>
        <w:tc>
          <w:tcPr>
            <w:tcW w:w="2725" w:type="dxa"/>
            <w:gridSpan w:val="3"/>
          </w:tcPr>
          <w:p>
            <w:pPr>
              <w:pStyle w:val="TableParagraph"/>
              <w:spacing w:line="274" w:lineRule="exact"/>
              <w:ind w:left="275"/>
              <w:jc w:val="left"/>
              <w:rPr>
                <w:sz w:val="24"/>
              </w:rPr>
            </w:pPr>
            <w:r>
              <w:rPr>
                <w:sz w:val="24"/>
              </w:rPr>
              <w:t>开江县发展和改革局</w:t>
            </w:r>
          </w:p>
        </w:tc>
        <w:tc>
          <w:tcPr>
            <w:tcW w:w="1335" w:type="dxa"/>
            <w:gridSpan w:val="4"/>
          </w:tcPr>
          <w:p>
            <w:pPr>
              <w:pStyle w:val="TableParagraph"/>
              <w:spacing w:line="274" w:lineRule="exact"/>
              <w:ind w:left="180"/>
              <w:jc w:val="left"/>
              <w:rPr>
                <w:sz w:val="24"/>
              </w:rPr>
            </w:pPr>
            <w:r>
              <w:rPr>
                <w:sz w:val="24"/>
              </w:rPr>
              <w:t>批准文号</w:t>
            </w:r>
          </w:p>
        </w:tc>
        <w:tc>
          <w:tcPr>
            <w:tcW w:w="2986" w:type="dxa"/>
            <w:gridSpan w:val="4"/>
          </w:tcPr>
          <w:p>
            <w:pPr>
              <w:pStyle w:val="TableParagraph"/>
              <w:spacing w:line="292" w:lineRule="exact"/>
              <w:ind w:left="256"/>
              <w:jc w:val="left"/>
              <w:rPr>
                <w:sz w:val="24"/>
              </w:rPr>
            </w:pPr>
            <w:r>
              <w:rPr>
                <w:sz w:val="24"/>
              </w:rPr>
              <w:t>开发行审［</w:t>
            </w:r>
            <w:r>
              <w:rPr>
                <w:rFonts w:ascii="Times New Roman" w:eastAsia="Times New Roman"/>
                <w:sz w:val="24"/>
              </w:rPr>
              <w:t>2016</w:t>
            </w:r>
            <w:r>
              <w:rPr>
                <w:sz w:val="24"/>
              </w:rPr>
              <w:t>］</w:t>
            </w:r>
            <w:r>
              <w:rPr>
                <w:rFonts w:ascii="Times New Roman" w:eastAsia="Times New Roman"/>
                <w:sz w:val="24"/>
              </w:rPr>
              <w:t>19 </w:t>
            </w:r>
            <w:r>
              <w:rPr>
                <w:sz w:val="24"/>
              </w:rPr>
              <w:t>号</w:t>
            </w:r>
          </w:p>
        </w:tc>
      </w:tr>
      <w:tr>
        <w:trPr>
          <w:trHeight w:val="634" w:hRule="exact"/>
        </w:trPr>
        <w:tc>
          <w:tcPr>
            <w:tcW w:w="1483" w:type="dxa"/>
          </w:tcPr>
          <w:p>
            <w:pPr>
              <w:pStyle w:val="TableParagraph"/>
              <w:spacing w:before="115"/>
              <w:ind w:left="68" w:right="68"/>
              <w:rPr>
                <w:sz w:val="24"/>
              </w:rPr>
            </w:pPr>
            <w:r>
              <w:rPr>
                <w:sz w:val="24"/>
              </w:rPr>
              <w:t>建设性质</w:t>
            </w:r>
          </w:p>
        </w:tc>
        <w:tc>
          <w:tcPr>
            <w:tcW w:w="2725" w:type="dxa"/>
            <w:gridSpan w:val="3"/>
          </w:tcPr>
          <w:p>
            <w:pPr>
              <w:pStyle w:val="TableParagraph"/>
              <w:spacing w:before="115"/>
              <w:ind w:left="299"/>
              <w:jc w:val="left"/>
              <w:rPr>
                <w:rFonts w:ascii="Times New Roman" w:hAnsi="Times New Roman" w:eastAsia="Times New Roman"/>
                <w:sz w:val="24"/>
              </w:rPr>
            </w:pPr>
            <w:r>
              <w:rPr>
                <w:sz w:val="24"/>
              </w:rPr>
              <w:t>新建</w:t>
            </w:r>
            <w:r>
              <w:rPr>
                <w:rFonts w:ascii="Times New Roman" w:hAnsi="Times New Roman" w:eastAsia="Times New Roman"/>
                <w:spacing w:val="-141"/>
                <w:sz w:val="24"/>
              </w:rPr>
              <w:t>□</w:t>
            </w:r>
            <w:r>
              <w:rPr>
                <w:rFonts w:ascii="Times New Roman" w:hAnsi="Times New Roman" w:eastAsia="Times New Roman"/>
                <w:spacing w:val="7"/>
                <w:w w:val="100"/>
                <w:sz w:val="24"/>
              </w:rPr>
              <w:t>√</w:t>
            </w:r>
            <w:r>
              <w:rPr>
                <w:sz w:val="24"/>
              </w:rPr>
              <w:t>改扩建</w:t>
            </w:r>
            <w:r>
              <w:rPr>
                <w:rFonts w:ascii="Times New Roman" w:hAnsi="Times New Roman" w:eastAsia="Times New Roman"/>
                <w:spacing w:val="-1"/>
                <w:sz w:val="24"/>
              </w:rPr>
              <w:t>□</w:t>
            </w:r>
            <w:r>
              <w:rPr>
                <w:sz w:val="24"/>
              </w:rPr>
              <w:t>技改</w:t>
            </w:r>
            <w:r>
              <w:rPr>
                <w:rFonts w:ascii="Times New Roman" w:hAnsi="Times New Roman" w:eastAsia="Times New Roman"/>
                <w:sz w:val="24"/>
              </w:rPr>
              <w:t>□</w:t>
            </w:r>
          </w:p>
        </w:tc>
        <w:tc>
          <w:tcPr>
            <w:tcW w:w="1335" w:type="dxa"/>
            <w:gridSpan w:val="4"/>
          </w:tcPr>
          <w:p>
            <w:pPr>
              <w:pStyle w:val="TableParagraph"/>
              <w:spacing w:line="273" w:lineRule="exact"/>
              <w:ind w:left="161" w:right="164"/>
              <w:rPr>
                <w:sz w:val="24"/>
              </w:rPr>
            </w:pPr>
            <w:r>
              <w:rPr>
                <w:sz w:val="24"/>
              </w:rPr>
              <w:t>行业类别</w:t>
            </w:r>
          </w:p>
          <w:p>
            <w:pPr>
              <w:pStyle w:val="TableParagraph"/>
              <w:spacing w:line="313" w:lineRule="exact"/>
              <w:ind w:left="161" w:right="164"/>
              <w:rPr>
                <w:sz w:val="24"/>
              </w:rPr>
            </w:pPr>
            <w:r>
              <w:rPr>
                <w:sz w:val="24"/>
              </w:rPr>
              <w:t>及代码</w:t>
            </w:r>
          </w:p>
        </w:tc>
        <w:tc>
          <w:tcPr>
            <w:tcW w:w="2986" w:type="dxa"/>
            <w:gridSpan w:val="4"/>
          </w:tcPr>
          <w:p>
            <w:pPr>
              <w:pStyle w:val="TableParagraph"/>
              <w:spacing w:before="115"/>
              <w:ind w:left="153"/>
              <w:jc w:val="left"/>
              <w:rPr>
                <w:sz w:val="24"/>
              </w:rPr>
            </w:pPr>
            <w:r>
              <w:rPr>
                <w:rFonts w:ascii="Times New Roman" w:eastAsia="Times New Roman"/>
                <w:sz w:val="24"/>
              </w:rPr>
              <w:t>E4813</w:t>
            </w:r>
            <w:r>
              <w:rPr>
                <w:rFonts w:ascii="Times New Roman" w:eastAsia="Times New Roman"/>
                <w:spacing w:val="59"/>
                <w:sz w:val="24"/>
              </w:rPr>
              <w:t> </w:t>
            </w:r>
            <w:r>
              <w:rPr>
                <w:sz w:val="24"/>
              </w:rPr>
              <w:t>市政道路工程建筑</w:t>
            </w:r>
          </w:p>
        </w:tc>
      </w:tr>
      <w:tr>
        <w:trPr>
          <w:trHeight w:val="632" w:hRule="exact"/>
        </w:trPr>
        <w:tc>
          <w:tcPr>
            <w:tcW w:w="1483" w:type="dxa"/>
          </w:tcPr>
          <w:p>
            <w:pPr>
              <w:pStyle w:val="TableParagraph"/>
              <w:spacing w:line="273" w:lineRule="exact"/>
              <w:ind w:left="68" w:right="68"/>
              <w:rPr>
                <w:sz w:val="24"/>
              </w:rPr>
            </w:pPr>
            <w:r>
              <w:rPr>
                <w:sz w:val="24"/>
              </w:rPr>
              <w:t>占地面积</w:t>
            </w:r>
          </w:p>
          <w:p>
            <w:pPr>
              <w:pStyle w:val="TableParagraph"/>
              <w:spacing w:line="331" w:lineRule="exact"/>
              <w:ind w:left="68" w:right="68"/>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725" w:type="dxa"/>
            <w:gridSpan w:val="3"/>
          </w:tcPr>
          <w:p>
            <w:pPr>
              <w:pStyle w:val="TableParagraph"/>
              <w:spacing w:before="165"/>
              <w:ind w:left="977" w:right="978"/>
              <w:rPr>
                <w:rFonts w:ascii="Times New Roman"/>
                <w:sz w:val="24"/>
              </w:rPr>
            </w:pPr>
            <w:r>
              <w:rPr>
                <w:rFonts w:ascii="Times New Roman"/>
                <w:sz w:val="24"/>
              </w:rPr>
              <w:t>5808</w:t>
            </w:r>
          </w:p>
        </w:tc>
        <w:tc>
          <w:tcPr>
            <w:tcW w:w="1335" w:type="dxa"/>
            <w:gridSpan w:val="4"/>
          </w:tcPr>
          <w:p>
            <w:pPr>
              <w:pStyle w:val="TableParagraph"/>
              <w:spacing w:line="273" w:lineRule="exact"/>
              <w:ind w:left="161" w:right="164"/>
              <w:rPr>
                <w:sz w:val="24"/>
              </w:rPr>
            </w:pPr>
            <w:r>
              <w:rPr>
                <w:sz w:val="24"/>
              </w:rPr>
              <w:t>绿化面积</w:t>
            </w:r>
          </w:p>
          <w:p>
            <w:pPr>
              <w:pStyle w:val="TableParagraph"/>
              <w:spacing w:line="331" w:lineRule="exact"/>
              <w:ind w:left="161" w:right="161"/>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986" w:type="dxa"/>
            <w:gridSpan w:val="4"/>
          </w:tcPr>
          <w:p>
            <w:pPr>
              <w:pStyle w:val="TableParagraph"/>
              <w:spacing w:before="116"/>
              <w:ind w:right="3"/>
              <w:rPr>
                <w:sz w:val="24"/>
              </w:rPr>
            </w:pPr>
            <w:r>
              <w:rPr>
                <w:sz w:val="24"/>
              </w:rPr>
              <w:t>—</w:t>
            </w:r>
          </w:p>
        </w:tc>
      </w:tr>
      <w:tr>
        <w:trPr>
          <w:trHeight w:val="943" w:hRule="exact"/>
        </w:trPr>
        <w:tc>
          <w:tcPr>
            <w:tcW w:w="1483" w:type="dxa"/>
          </w:tcPr>
          <w:p>
            <w:pPr>
              <w:pStyle w:val="TableParagraph"/>
              <w:spacing w:line="313" w:lineRule="exact" w:before="115"/>
              <w:ind w:left="68" w:right="68"/>
              <w:rPr>
                <w:sz w:val="24"/>
              </w:rPr>
            </w:pPr>
            <w:r>
              <w:rPr>
                <w:sz w:val="24"/>
              </w:rPr>
              <w:t>总投资</w:t>
            </w:r>
          </w:p>
          <w:p>
            <w:pPr>
              <w:pStyle w:val="TableParagraph"/>
              <w:spacing w:line="313" w:lineRule="exact"/>
              <w:ind w:left="68" w:right="68"/>
              <w:rPr>
                <w:sz w:val="24"/>
              </w:rPr>
            </w:pPr>
            <w:r>
              <w:rPr>
                <w:sz w:val="24"/>
              </w:rPr>
              <w:t>（万元）</w:t>
            </w:r>
          </w:p>
        </w:tc>
        <w:tc>
          <w:tcPr>
            <w:tcW w:w="1162" w:type="dxa"/>
          </w:tcPr>
          <w:p>
            <w:pPr>
              <w:pStyle w:val="TableParagraph"/>
              <w:spacing w:before="6"/>
              <w:jc w:val="left"/>
              <w:rPr>
                <w:b/>
                <w:sz w:val="24"/>
              </w:rPr>
            </w:pPr>
          </w:p>
          <w:p>
            <w:pPr>
              <w:pStyle w:val="TableParagraph"/>
              <w:ind w:left="105" w:right="106"/>
              <w:rPr>
                <w:rFonts w:ascii="Times New Roman"/>
                <w:sz w:val="24"/>
              </w:rPr>
            </w:pPr>
            <w:r>
              <w:rPr>
                <w:rFonts w:ascii="Times New Roman"/>
                <w:sz w:val="24"/>
              </w:rPr>
              <w:t>307.5283</w:t>
            </w:r>
          </w:p>
        </w:tc>
        <w:tc>
          <w:tcPr>
            <w:tcW w:w="1562" w:type="dxa"/>
            <w:gridSpan w:val="2"/>
          </w:tcPr>
          <w:p>
            <w:pPr>
              <w:pStyle w:val="TableParagraph"/>
              <w:spacing w:line="312" w:lineRule="exact" w:before="146"/>
              <w:ind w:left="175" w:right="91" w:hanging="72"/>
              <w:jc w:val="left"/>
              <w:rPr>
                <w:sz w:val="24"/>
              </w:rPr>
            </w:pPr>
            <w:r>
              <w:rPr>
                <w:spacing w:val="-17"/>
                <w:sz w:val="24"/>
              </w:rPr>
              <w:t>其中：环保投资（万元）</w:t>
            </w:r>
          </w:p>
        </w:tc>
        <w:tc>
          <w:tcPr>
            <w:tcW w:w="1083" w:type="dxa"/>
            <w:gridSpan w:val="3"/>
          </w:tcPr>
          <w:p>
            <w:pPr>
              <w:pStyle w:val="TableParagraph"/>
              <w:spacing w:before="6"/>
              <w:jc w:val="left"/>
              <w:rPr>
                <w:b/>
                <w:sz w:val="24"/>
              </w:rPr>
            </w:pPr>
          </w:p>
          <w:p>
            <w:pPr>
              <w:pStyle w:val="TableParagraph"/>
              <w:ind w:left="396" w:right="397"/>
              <w:rPr>
                <w:rFonts w:ascii="Times New Roman"/>
                <w:sz w:val="24"/>
              </w:rPr>
            </w:pPr>
            <w:r>
              <w:rPr>
                <w:rFonts w:ascii="Times New Roman"/>
                <w:sz w:val="24"/>
              </w:rPr>
              <w:t>30</w:t>
            </w:r>
          </w:p>
        </w:tc>
        <w:tc>
          <w:tcPr>
            <w:tcW w:w="1538" w:type="dxa"/>
            <w:gridSpan w:val="4"/>
          </w:tcPr>
          <w:p>
            <w:pPr>
              <w:pStyle w:val="TableParagraph"/>
              <w:spacing w:line="273" w:lineRule="exact"/>
              <w:ind w:left="144" w:right="144"/>
              <w:rPr>
                <w:sz w:val="24"/>
              </w:rPr>
            </w:pPr>
            <w:r>
              <w:rPr>
                <w:sz w:val="24"/>
              </w:rPr>
              <w:t>环保投资占</w:t>
            </w:r>
          </w:p>
          <w:p>
            <w:pPr>
              <w:pStyle w:val="TableParagraph"/>
              <w:spacing w:line="312" w:lineRule="exact"/>
              <w:ind w:left="144" w:right="144"/>
              <w:rPr>
                <w:sz w:val="24"/>
              </w:rPr>
            </w:pPr>
            <w:r>
              <w:rPr>
                <w:sz w:val="24"/>
              </w:rPr>
              <w:t>总投资比例</w:t>
            </w:r>
          </w:p>
          <w:p>
            <w:pPr>
              <w:pStyle w:val="TableParagraph"/>
              <w:spacing w:line="331" w:lineRule="exact"/>
              <w:ind w:left="144" w:right="144"/>
              <w:rPr>
                <w:sz w:val="24"/>
              </w:rPr>
            </w:pPr>
            <w:r>
              <w:rPr>
                <w:sz w:val="24"/>
              </w:rPr>
              <w:t>（</w:t>
            </w:r>
            <w:r>
              <w:rPr>
                <w:rFonts w:ascii="Times New Roman" w:eastAsia="Times New Roman"/>
                <w:sz w:val="24"/>
              </w:rPr>
              <w:t>%</w:t>
            </w:r>
            <w:r>
              <w:rPr>
                <w:sz w:val="24"/>
              </w:rPr>
              <w:t>）</w:t>
            </w:r>
          </w:p>
        </w:tc>
        <w:tc>
          <w:tcPr>
            <w:tcW w:w="1700" w:type="dxa"/>
          </w:tcPr>
          <w:p>
            <w:pPr>
              <w:pStyle w:val="TableParagraph"/>
              <w:spacing w:before="6"/>
              <w:jc w:val="left"/>
              <w:rPr>
                <w:b/>
                <w:sz w:val="24"/>
              </w:rPr>
            </w:pPr>
          </w:p>
          <w:p>
            <w:pPr>
              <w:pStyle w:val="TableParagraph"/>
              <w:ind w:left="614" w:right="615"/>
              <w:rPr>
                <w:rFonts w:ascii="Times New Roman"/>
                <w:sz w:val="24"/>
              </w:rPr>
            </w:pPr>
            <w:r>
              <w:rPr>
                <w:rFonts w:ascii="Times New Roman"/>
                <w:sz w:val="24"/>
              </w:rPr>
              <w:t>0.98</w:t>
            </w:r>
          </w:p>
        </w:tc>
      </w:tr>
      <w:tr>
        <w:trPr>
          <w:trHeight w:val="634" w:hRule="exact"/>
        </w:trPr>
        <w:tc>
          <w:tcPr>
            <w:tcW w:w="1483" w:type="dxa"/>
          </w:tcPr>
          <w:p>
            <w:pPr>
              <w:pStyle w:val="TableParagraph"/>
              <w:spacing w:line="274" w:lineRule="exact"/>
              <w:ind w:left="256"/>
              <w:jc w:val="left"/>
              <w:rPr>
                <w:sz w:val="24"/>
              </w:rPr>
            </w:pPr>
            <w:r>
              <w:rPr>
                <w:sz w:val="24"/>
              </w:rPr>
              <w:t>评价经费</w:t>
            </w:r>
          </w:p>
          <w:p>
            <w:pPr>
              <w:pStyle w:val="TableParagraph"/>
              <w:spacing w:line="312" w:lineRule="exact"/>
              <w:ind w:left="256"/>
              <w:jc w:val="left"/>
              <w:rPr>
                <w:sz w:val="24"/>
              </w:rPr>
            </w:pPr>
            <w:r>
              <w:rPr>
                <w:sz w:val="24"/>
              </w:rPr>
              <w:t>（万元）</w:t>
            </w:r>
          </w:p>
        </w:tc>
        <w:tc>
          <w:tcPr>
            <w:tcW w:w="1162" w:type="dxa"/>
          </w:tcPr>
          <w:p>
            <w:pPr>
              <w:pStyle w:val="TableParagraph"/>
              <w:spacing w:before="167"/>
              <w:ind w:right="1"/>
              <w:rPr>
                <w:rFonts w:ascii="Times New Roman"/>
                <w:sz w:val="24"/>
              </w:rPr>
            </w:pPr>
            <w:r>
              <w:rPr>
                <w:rFonts w:ascii="Times New Roman"/>
                <w:sz w:val="24"/>
              </w:rPr>
              <w:t>/</w:t>
            </w:r>
          </w:p>
        </w:tc>
        <w:tc>
          <w:tcPr>
            <w:tcW w:w="1562" w:type="dxa"/>
            <w:gridSpan w:val="2"/>
          </w:tcPr>
          <w:p>
            <w:pPr>
              <w:pStyle w:val="TableParagraph"/>
              <w:spacing w:before="115"/>
              <w:ind w:left="295"/>
              <w:jc w:val="left"/>
              <w:rPr>
                <w:sz w:val="24"/>
              </w:rPr>
            </w:pPr>
            <w:r>
              <w:rPr>
                <w:sz w:val="24"/>
              </w:rPr>
              <w:t>投产日期</w:t>
            </w:r>
          </w:p>
        </w:tc>
        <w:tc>
          <w:tcPr>
            <w:tcW w:w="4321" w:type="dxa"/>
            <w:gridSpan w:val="8"/>
          </w:tcPr>
          <w:p>
            <w:pPr>
              <w:pStyle w:val="TableParagraph"/>
              <w:spacing w:before="115"/>
              <w:ind w:left="1415" w:right="1415"/>
              <w:rPr>
                <w:sz w:val="24"/>
              </w:rPr>
            </w:pPr>
            <w:r>
              <w:rPr>
                <w:rFonts w:ascii="Times New Roman" w:eastAsia="Times New Roman"/>
                <w:sz w:val="24"/>
              </w:rPr>
              <w:t>2017 </w:t>
            </w:r>
            <w:r>
              <w:rPr>
                <w:sz w:val="24"/>
              </w:rPr>
              <w:t>年 </w:t>
            </w:r>
            <w:r>
              <w:rPr>
                <w:rFonts w:ascii="Times New Roman" w:eastAsia="Times New Roman"/>
                <w:sz w:val="24"/>
              </w:rPr>
              <w:t>12 </w:t>
            </w:r>
            <w:r>
              <w:rPr>
                <w:sz w:val="24"/>
              </w:rPr>
              <w:t>月</w:t>
            </w:r>
          </w:p>
        </w:tc>
      </w:tr>
      <w:tr>
        <w:trPr>
          <w:trHeight w:val="8104" w:hRule="exact"/>
        </w:trPr>
        <w:tc>
          <w:tcPr>
            <w:tcW w:w="8529" w:type="dxa"/>
            <w:gridSpan w:val="12"/>
          </w:tcPr>
          <w:p>
            <w:pPr>
              <w:pStyle w:val="TableParagraph"/>
              <w:spacing w:line="367" w:lineRule="exact"/>
              <w:ind w:left="103"/>
              <w:jc w:val="both"/>
              <w:rPr>
                <w:sz w:val="32"/>
              </w:rPr>
            </w:pPr>
            <w:r>
              <w:rPr>
                <w:rFonts w:ascii="黑体" w:eastAsia="黑体" w:hint="eastAsia"/>
                <w:b/>
                <w:w w:val="95"/>
                <w:sz w:val="32"/>
                <w:shd w:fill="E4E4E4" w:color="auto" w:val="clear"/>
              </w:rPr>
              <w:t>工程内容及规模</w:t>
            </w:r>
            <w:r>
              <w:rPr>
                <w:w w:val="95"/>
                <w:sz w:val="32"/>
                <w:shd w:fill="E4E4E4" w:color="auto" w:val="clear"/>
              </w:rPr>
              <w:t>：</w:t>
            </w:r>
            <w:r>
              <w:rPr>
                <w:w w:val="95"/>
                <w:sz w:val="32"/>
              </w:rPr>
              <w:t> </w:t>
            </w:r>
          </w:p>
          <w:p>
            <w:pPr>
              <w:pStyle w:val="TableParagraph"/>
              <w:spacing w:before="217"/>
              <w:ind w:left="585"/>
              <w:jc w:val="left"/>
              <w:rPr>
                <w:b/>
                <w:sz w:val="24"/>
              </w:rPr>
            </w:pPr>
            <w:r>
              <w:rPr>
                <w:b/>
                <w:w w:val="95"/>
                <w:sz w:val="24"/>
              </w:rPr>
              <w:t>一、项目由来</w:t>
            </w:r>
          </w:p>
          <w:p>
            <w:pPr>
              <w:pStyle w:val="TableParagraph"/>
              <w:spacing w:line="357" w:lineRule="auto" w:before="152"/>
              <w:ind w:left="103" w:firstLine="479"/>
              <w:jc w:val="left"/>
              <w:rPr>
                <w:sz w:val="24"/>
              </w:rPr>
            </w:pPr>
            <w:r>
              <w:rPr>
                <w:spacing w:val="-5"/>
                <w:sz w:val="24"/>
              </w:rPr>
              <w:t>经济发展的前提就是交通基础设施的建设，有了发达的交通网络，才能实现</w:t>
            </w:r>
            <w:r>
              <w:rPr>
                <w:spacing w:val="-10"/>
                <w:sz w:val="24"/>
              </w:rPr>
              <w:t>人、物的顺利流通，带动整个经济的快速发展。以城市道路交通网系统调整城市</w:t>
            </w:r>
            <w:r>
              <w:rPr>
                <w:spacing w:val="-18"/>
                <w:sz w:val="24"/>
              </w:rPr>
              <w:t>空间布局，科学划分城市功能分区为重要手段，本着老城改造与新城建设相结合、城市建设与农村建设统一、基础设施与产业发展相配套、域内交通与域外交通相</w:t>
            </w:r>
            <w:r>
              <w:rPr>
                <w:spacing w:val="-17"/>
                <w:sz w:val="24"/>
              </w:rPr>
              <w:t>统筹同步推进的原则，全力打造开江城市交通大格局。建设本项目是加快推进城市交通体系建设，构建高效便捷、四通八达的交通网络，是完善城市基础设施、促进区域经济增长、改善居民生活条件的重点工程。</w:t>
            </w:r>
          </w:p>
          <w:p>
            <w:pPr>
              <w:pStyle w:val="TableParagraph"/>
              <w:spacing w:before="36"/>
              <w:ind w:left="583"/>
              <w:jc w:val="left"/>
              <w:rPr>
                <w:rFonts w:ascii="Times New Roman" w:eastAsia="Times New Roman"/>
                <w:sz w:val="24"/>
              </w:rPr>
            </w:pPr>
            <w:r>
              <w:rPr>
                <w:sz w:val="24"/>
              </w:rPr>
              <w:t>为此，开江县住房和城乡规划建设局投资 </w:t>
            </w:r>
            <w:r>
              <w:rPr>
                <w:rFonts w:ascii="Times New Roman" w:eastAsia="Times New Roman"/>
                <w:sz w:val="24"/>
              </w:rPr>
              <w:t>307.5283 </w:t>
            </w:r>
            <w:r>
              <w:rPr>
                <w:sz w:val="24"/>
              </w:rPr>
              <w:t>万元，建设滨水景观 </w:t>
            </w:r>
            <w:r>
              <w:rPr>
                <w:rFonts w:ascii="Times New Roman" w:eastAsia="Times New Roman"/>
                <w:sz w:val="24"/>
              </w:rPr>
              <w:t>3#</w:t>
            </w:r>
          </w:p>
          <w:p>
            <w:pPr>
              <w:pStyle w:val="TableParagraph"/>
              <w:spacing w:line="343" w:lineRule="auto" w:before="133"/>
              <w:ind w:left="103" w:right="-17"/>
              <w:jc w:val="both"/>
              <w:rPr>
                <w:sz w:val="24"/>
              </w:rPr>
            </w:pPr>
            <w:r>
              <w:rPr>
                <w:spacing w:val="-3"/>
                <w:sz w:val="24"/>
              </w:rPr>
              <w:t>桥连接峨城大道段道路工程，该项目长约 </w:t>
            </w:r>
            <w:r>
              <w:rPr>
                <w:rFonts w:ascii="Times New Roman" w:eastAsia="Times New Roman"/>
                <w:sz w:val="24"/>
              </w:rPr>
              <w:t>314 </w:t>
            </w:r>
            <w:r>
              <w:rPr>
                <w:spacing w:val="-14"/>
                <w:sz w:val="24"/>
              </w:rPr>
              <w:t>米、宽 </w:t>
            </w:r>
            <w:r>
              <w:rPr>
                <w:rFonts w:ascii="Times New Roman" w:eastAsia="Times New Roman"/>
                <w:sz w:val="24"/>
              </w:rPr>
              <w:t>16 </w:t>
            </w:r>
            <w:r>
              <w:rPr>
                <w:sz w:val="24"/>
              </w:rPr>
              <w:t>米。工程建设内容包括</w:t>
            </w:r>
            <w:r>
              <w:rPr>
                <w:spacing w:val="-7"/>
                <w:sz w:val="24"/>
              </w:rPr>
              <w:t>道路路基工路面、人行道铺装、雨污管网安装、绿化、亮化等工程。该项目建成</w:t>
            </w:r>
            <w:r>
              <w:rPr>
                <w:spacing w:val="-5"/>
                <w:sz w:val="24"/>
              </w:rPr>
              <w:t>后，使该区域的路网结构更加完善。</w:t>
            </w:r>
            <w:r>
              <w:rPr>
                <w:rFonts w:ascii="Times New Roman" w:eastAsia="Times New Roman"/>
                <w:sz w:val="24"/>
              </w:rPr>
              <w:t>2016 </w:t>
            </w:r>
            <w:r>
              <w:rPr>
                <w:spacing w:val="-30"/>
                <w:sz w:val="24"/>
              </w:rPr>
              <w:t>年 </w:t>
            </w:r>
            <w:r>
              <w:rPr>
                <w:rFonts w:ascii="Times New Roman" w:eastAsia="Times New Roman"/>
                <w:sz w:val="24"/>
              </w:rPr>
              <w:t>5 </w:t>
            </w:r>
            <w:r>
              <w:rPr>
                <w:spacing w:val="-30"/>
                <w:sz w:val="24"/>
              </w:rPr>
              <w:t>月 </w:t>
            </w:r>
            <w:r>
              <w:rPr>
                <w:rFonts w:ascii="Times New Roman" w:eastAsia="Times New Roman"/>
                <w:sz w:val="24"/>
              </w:rPr>
              <w:t>25 </w:t>
            </w:r>
            <w:r>
              <w:rPr>
                <w:spacing w:val="-3"/>
                <w:sz w:val="24"/>
              </w:rPr>
              <w:t>日，开江县发展和改革局下</w:t>
            </w:r>
            <w:r>
              <w:rPr>
                <w:spacing w:val="-12"/>
                <w:sz w:val="24"/>
              </w:rPr>
              <w:t>达了《关于滨水景观</w:t>
            </w:r>
            <w:r>
              <w:rPr>
                <w:rFonts w:ascii="Times New Roman" w:eastAsia="Times New Roman"/>
                <w:sz w:val="24"/>
              </w:rPr>
              <w:t>3#</w:t>
            </w:r>
            <w:r>
              <w:rPr>
                <w:spacing w:val="-1"/>
                <w:sz w:val="24"/>
              </w:rPr>
              <w:t>桥连接峨城大道段道路工程 项目可行性研究报告的批复》</w:t>
            </w:r>
          </w:p>
          <w:p>
            <w:pPr>
              <w:pStyle w:val="TableParagraph"/>
              <w:spacing w:before="18"/>
              <w:ind w:left="103"/>
              <w:jc w:val="both"/>
              <w:rPr>
                <w:sz w:val="24"/>
              </w:rPr>
            </w:pPr>
            <w:r>
              <w:rPr>
                <w:sz w:val="24"/>
              </w:rPr>
              <w:t>（开发行审［</w:t>
            </w:r>
            <w:r>
              <w:rPr>
                <w:rFonts w:ascii="Times New Roman" w:eastAsia="Times New Roman"/>
                <w:sz w:val="24"/>
              </w:rPr>
              <w:t>2016</w:t>
            </w:r>
            <w:r>
              <w:rPr>
                <w:sz w:val="24"/>
              </w:rPr>
              <w:t>］</w:t>
            </w:r>
            <w:r>
              <w:rPr>
                <w:rFonts w:ascii="Times New Roman" w:eastAsia="Times New Roman"/>
                <w:sz w:val="24"/>
              </w:rPr>
              <w:t>19 </w:t>
            </w:r>
            <w:r>
              <w:rPr>
                <w:sz w:val="24"/>
              </w:rPr>
              <w:t>号）。</w:t>
            </w:r>
          </w:p>
          <w:p>
            <w:pPr>
              <w:pStyle w:val="TableParagraph"/>
              <w:spacing w:line="357" w:lineRule="auto" w:before="135"/>
              <w:ind w:left="103" w:right="52" w:firstLine="479"/>
              <w:jc w:val="left"/>
              <w:rPr>
                <w:sz w:val="24"/>
              </w:rPr>
            </w:pPr>
            <w:r>
              <w:rPr>
                <w:spacing w:val="-13"/>
                <w:sz w:val="24"/>
              </w:rPr>
              <w:t>根据《中华人民共和国环境保护法》</w:t>
            </w:r>
            <w:r>
              <w:rPr>
                <w:spacing w:val="-15"/>
                <w:sz w:val="24"/>
              </w:rPr>
              <w:t>、《建设项目环境保护管理条例》及《中</w:t>
            </w:r>
            <w:r>
              <w:rPr>
                <w:spacing w:val="-18"/>
                <w:sz w:val="24"/>
              </w:rPr>
              <w:t>华人民共和国环境影响评价法》，该项目应开展环境影响评价工作。根据《建设</w:t>
            </w:r>
          </w:p>
        </w:tc>
      </w:tr>
    </w:tbl>
    <w:p>
      <w:pPr>
        <w:spacing w:after="0" w:line="357" w:lineRule="auto"/>
        <w:jc w:val="left"/>
        <w:rPr>
          <w:sz w:val="24"/>
        </w:rPr>
        <w:sectPr>
          <w:footerReference w:type="default" r:id="rId5"/>
          <w:pgSz w:w="11910" w:h="16850"/>
          <w:pgMar w:footer="1141" w:header="0" w:top="1400" w:bottom="1340" w:left="1580" w:right="1560"/>
          <w:pgNumType w:start="1"/>
        </w:sectPr>
      </w:pPr>
    </w:p>
    <w:p>
      <w:pPr>
        <w:pStyle w:val="BodyText"/>
        <w:spacing w:line="352" w:lineRule="auto" w:before="9"/>
        <w:ind w:left="218" w:right="147"/>
      </w:pPr>
      <w:r>
        <w:rPr/>
        <w:pict>
          <v:group style="position:absolute;margin-left:84.253998pt;margin-top:71.749977pt;width:426.95pt;height:698.7pt;mso-position-horizontal-relative:page;mso-position-vertical-relative:page;z-index:-199408"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项目环境影响评价分类管理名录</w:t>
      </w:r>
      <w:r>
        <w:rPr>
          <w:spacing w:val="-149"/>
        </w:rPr>
        <w:t>》</w:t>
      </w:r>
      <w:r>
        <w:rPr/>
        <w:t>（</w:t>
      </w:r>
      <w:r>
        <w:rPr>
          <w:rFonts w:ascii="Times New Roman" w:eastAsia="Times New Roman"/>
        </w:rPr>
        <w:t>2017</w:t>
      </w:r>
      <w:r>
        <w:rPr>
          <w:spacing w:val="-120"/>
        </w:rPr>
        <w:t>）</w:t>
      </w:r>
      <w:r>
        <w:rPr>
          <w:spacing w:val="-9"/>
        </w:rPr>
        <w:t>，本项目为新建次干路，项目位于开江</w:t>
      </w:r>
      <w:r>
        <w:rPr>
          <w:spacing w:val="-11"/>
        </w:rPr>
        <w:t>县新宁镇，环境影响评价形式为编制环境影响报告表，为此开江县住房和城乡规划建设局委托湖南葆华环保有限公司编制该项目环境影响报告表。接受委托后， 评价单位立即组织技术人员深入现场，进行实地调研、踏勘、资料收集等工作， </w:t>
      </w:r>
      <w:r>
        <w:rPr>
          <w:spacing w:val="-12"/>
        </w:rPr>
        <w:t>收集了当地水文、地质、气候、气象、经济发展、自然、社会环境等资料，同时</w:t>
      </w:r>
      <w:r>
        <w:rPr>
          <w:spacing w:val="-16"/>
        </w:rPr>
        <w:t>对环境影响因子和评价因子进行了识别和筛选，并对工程特点和环境特征进行了分析，在此基础上编制完成《开江县住房和城乡规划建设局滨水景观 </w:t>
      </w:r>
      <w:r>
        <w:rPr>
          <w:rFonts w:ascii="Times New Roman" w:eastAsia="Times New Roman"/>
        </w:rPr>
        <w:t>3#</w:t>
      </w:r>
      <w:r>
        <w:rPr/>
        <w:t>桥连接</w:t>
      </w:r>
      <w:r>
        <w:rPr>
          <w:spacing w:val="-4"/>
        </w:rPr>
        <w:t>峨城大道段道路工程 环境影响报告表》，供建设单位上报环境保护管理部门审</w:t>
      </w:r>
      <w:r>
        <w:rPr>
          <w:spacing w:val="-1"/>
        </w:rPr>
        <w:t>查。</w:t>
      </w:r>
    </w:p>
    <w:p>
      <w:pPr>
        <w:pStyle w:val="Heading3"/>
        <w:spacing w:before="41"/>
      </w:pPr>
      <w:r>
        <w:rPr>
          <w:w w:val="95"/>
        </w:rPr>
        <w:t>二、评价目的</w:t>
      </w:r>
    </w:p>
    <w:p>
      <w:pPr>
        <w:pStyle w:val="BodyText"/>
        <w:spacing w:line="357" w:lineRule="auto" w:before="151"/>
        <w:ind w:left="218" w:right="133" w:firstLine="479"/>
      </w:pPr>
      <w:r>
        <w:rPr/>
        <w:t>该项目属于新建项目，本项目的实施主要产生大气环境、水环境、声环境、</w:t>
      </w:r>
      <w:r>
        <w:rPr>
          <w:spacing w:val="-6"/>
        </w:rPr>
        <w:t>固体废弃物和生态等方面的影响。本报告表在进行充分的工程分析和掌握环境现</w:t>
      </w:r>
      <w:r>
        <w:rPr>
          <w:spacing w:val="1"/>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spacing w:before="34"/>
      </w:pPr>
      <w:r>
        <w:rPr>
          <w:w w:val="95"/>
        </w:rPr>
        <w:t>三、产业政策符合性分析</w:t>
      </w:r>
    </w:p>
    <w:p>
      <w:pPr>
        <w:pStyle w:val="BodyText"/>
        <w:spacing w:line="355" w:lineRule="auto" w:before="154"/>
        <w:ind w:left="218" w:right="100" w:firstLine="479"/>
      </w:pPr>
      <w:r>
        <w:rPr>
          <w:spacing w:val="-6"/>
        </w:rPr>
        <w:t>该项目为道路建设项目，属于城市基础设施建设类，根据中华人民共和国国</w:t>
      </w:r>
      <w:r>
        <w:rPr>
          <w:spacing w:val="-10"/>
        </w:rPr>
        <w:t>家发展和改革委员会 </w:t>
      </w:r>
      <w:r>
        <w:rPr>
          <w:rFonts w:ascii="Times New Roman" w:eastAsia="Times New Roman"/>
        </w:rPr>
        <w:t>2013 </w:t>
      </w:r>
      <w:r>
        <w:rPr>
          <w:spacing w:val="-15"/>
        </w:rPr>
        <w:t>年第 </w:t>
      </w:r>
      <w:r>
        <w:rPr>
          <w:rFonts w:ascii="Times New Roman" w:eastAsia="Times New Roman"/>
        </w:rPr>
        <w:t>21 </w:t>
      </w:r>
      <w:r>
        <w:rPr/>
        <w:t>号令《产业结构调整指导目录（</w:t>
      </w:r>
      <w:r>
        <w:rPr>
          <w:rFonts w:ascii="Times New Roman" w:eastAsia="Times New Roman"/>
        </w:rPr>
        <w:t>2011 </w:t>
      </w:r>
      <w:r>
        <w:rPr/>
        <w:t>年本</w:t>
      </w:r>
      <w:r>
        <w:rPr>
          <w:spacing w:val="-120"/>
        </w:rPr>
        <w:t>）</w:t>
      </w:r>
      <w:r>
        <w:rPr/>
        <w:t>》</w:t>
      </w:r>
    </w:p>
    <w:p>
      <w:pPr>
        <w:pStyle w:val="BodyText"/>
        <w:spacing w:line="336" w:lineRule="auto" w:before="8"/>
        <w:ind w:left="218" w:right="147"/>
      </w:pPr>
      <w:r>
        <w:rPr/>
        <w:t>（修正</w:t>
      </w:r>
      <w:r>
        <w:rPr>
          <w:spacing w:val="-77"/>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0"/>
        </w:rPr>
        <w:t>市道路及智能交通体系建设”，</w:t>
      </w:r>
      <w:r>
        <w:rPr>
          <w:rFonts w:ascii="Times New Roman" w:hAnsi="Times New Roman" w:eastAsia="Times New Roman"/>
        </w:rPr>
        <w:t>2016 </w:t>
      </w:r>
      <w:r>
        <w:rPr>
          <w:spacing w:val="-21"/>
        </w:rPr>
        <w:t>年 </w:t>
      </w:r>
      <w:r>
        <w:rPr>
          <w:rFonts w:ascii="Times New Roman" w:hAnsi="Times New Roman" w:eastAsia="Times New Roman"/>
        </w:rPr>
        <w:t>9 </w:t>
      </w:r>
      <w:r>
        <w:rPr>
          <w:spacing w:val="-21"/>
        </w:rPr>
        <w:t>月 </w:t>
      </w:r>
      <w:r>
        <w:rPr>
          <w:rFonts w:ascii="Times New Roman" w:hAnsi="Times New Roman" w:eastAsia="Times New Roman"/>
          <w:spacing w:val="-3"/>
        </w:rPr>
        <w:t>2</w:t>
      </w:r>
      <w:r>
        <w:rPr>
          <w:rFonts w:ascii="Times New Roman" w:hAnsi="Times New Roman" w:eastAsia="Times New Roman"/>
        </w:rPr>
        <w:t>1 </w:t>
      </w:r>
      <w:r>
        <w:rPr/>
        <w:t>日，开江县发展和改革局下达了</w:t>
      </w:r>
    </w:p>
    <w:p>
      <w:pPr>
        <w:pStyle w:val="BodyText"/>
        <w:spacing w:line="336" w:lineRule="auto" w:before="29"/>
        <w:ind w:left="218" w:right="224"/>
      </w:pPr>
      <w:r>
        <w:rPr>
          <w:spacing w:val="4"/>
        </w:rPr>
        <w:t>《关于滨水景观</w:t>
      </w:r>
      <w:r>
        <w:rPr>
          <w:rFonts w:ascii="Times New Roman" w:eastAsia="Times New Roman"/>
        </w:rPr>
        <w:t>3#</w:t>
      </w:r>
      <w:r>
        <w:rPr/>
        <w:t>桥连接峨城大道段道路工程 项目可行性研究报告的批复</w:t>
      </w:r>
      <w:r>
        <w:rPr>
          <w:spacing w:val="-240"/>
        </w:rPr>
        <w:t>》</w:t>
      </w:r>
      <w:r>
        <w:rPr/>
        <w:t>（开发行审［</w:t>
      </w:r>
      <w:r>
        <w:rPr>
          <w:rFonts w:ascii="Times New Roman" w:eastAsia="Times New Roman"/>
        </w:rPr>
        <w:t>2016</w:t>
      </w:r>
      <w:r>
        <w:rPr/>
        <w:t>］</w:t>
      </w:r>
      <w:r>
        <w:rPr>
          <w:rFonts w:ascii="Times New Roman" w:eastAsia="Times New Roman"/>
        </w:rPr>
        <w:t>19 </w:t>
      </w:r>
      <w:r>
        <w:rPr/>
        <w:t>号</w:t>
      </w:r>
      <w:r>
        <w:rPr>
          <w:spacing w:val="-120"/>
        </w:rPr>
        <w:t>）</w:t>
      </w:r>
      <w:r>
        <w:rPr/>
        <w:t>。 </w:t>
      </w:r>
    </w:p>
    <w:p>
      <w:pPr>
        <w:spacing w:line="355" w:lineRule="auto" w:before="30"/>
        <w:ind w:left="690" w:right="3493" w:firstLine="7"/>
        <w:jc w:val="left"/>
        <w:rPr>
          <w:b/>
          <w:sz w:val="24"/>
        </w:rPr>
      </w:pPr>
      <w:r>
        <w:rPr>
          <w:sz w:val="24"/>
        </w:rPr>
        <w:t>综上，该项目建设符合国家现行产业政策。</w:t>
      </w:r>
      <w:r>
        <w:rPr>
          <w:b/>
          <w:w w:val="95"/>
          <w:sz w:val="24"/>
        </w:rPr>
        <w:t>四、规划符合性及选址合理性分析</w:t>
      </w:r>
    </w:p>
    <w:p>
      <w:pPr>
        <w:pStyle w:val="BodyText"/>
        <w:spacing w:before="39"/>
        <w:ind w:left="698"/>
      </w:pPr>
      <w:r>
        <w:rPr>
          <w:rFonts w:ascii="Times New Roman" w:eastAsia="Times New Roman"/>
        </w:rPr>
        <w:t>1</w:t>
      </w:r>
      <w:r>
        <w:rPr/>
        <w:t>、规划符合性分析</w:t>
      </w:r>
    </w:p>
    <w:p>
      <w:pPr>
        <w:pStyle w:val="BodyText"/>
        <w:spacing w:line="350" w:lineRule="auto" w:before="133"/>
        <w:ind w:left="218" w:right="231" w:firstLine="479"/>
        <w:jc w:val="both"/>
      </w:pPr>
      <w:r>
        <w:rPr>
          <w:spacing w:val="2"/>
        </w:rPr>
        <w:t>本项目为滨水景观 </w:t>
      </w:r>
      <w:r>
        <w:rPr>
          <w:rFonts w:ascii="Times New Roman" w:eastAsia="Times New Roman"/>
        </w:rPr>
        <w:t>3#</w:t>
      </w:r>
      <w:r>
        <w:rPr/>
        <w:t>桥连接峨城大道段道路工程，位于新宁镇，属于市政</w:t>
      </w:r>
      <w:r>
        <w:rPr>
          <w:spacing w:val="-6"/>
        </w:rPr>
        <w:t>配套工程基础设施建设，项目建成后，完善了该区域的路网结构。本项目是开江</w:t>
      </w:r>
      <w:r>
        <w:rPr>
          <w:spacing w:val="-10"/>
        </w:rPr>
        <w:t>县城市道路的重要组成部分，也是开江县城市道路的重要道路，符合《四川省达州市开江县城市总体规划（2013-2030）》的中心城区道路系统规划。</w:t>
      </w:r>
    </w:p>
    <w:p>
      <w:pPr>
        <w:spacing w:after="0" w:line="350" w:lineRule="auto"/>
        <w:jc w:val="both"/>
        <w:sectPr>
          <w:pgSz w:w="11910" w:h="16850"/>
          <w:pgMar w:header="0" w:footer="1141" w:top="1400" w:bottom="1400" w:left="1580" w:right="1560"/>
        </w:sectPr>
      </w:pPr>
    </w:p>
    <w:p>
      <w:pPr>
        <w:pStyle w:val="BodyText"/>
        <w:spacing w:before="9"/>
        <w:ind w:left="698"/>
      </w:pPr>
      <w:r>
        <w:rPr/>
        <w:pict>
          <v:group style="position:absolute;margin-left:84.014pt;margin-top:71.749977pt;width:427.45pt;height:681.75pt;mso-position-horizontal-relative:page;mso-position-vertical-relative:page;z-index:-199384" coordorigin="1680,1435" coordsize="8549,13635">
            <v:line style="position:absolute" from="1695,1445" to="10214,1445" stroked="true" strokeweight=".48pt" strokecolor="#000000">
              <v:stroke dashstyle="solid"/>
            </v:line>
            <v:line style="position:absolute" from="1690,1440" to="1690,15060" stroked="true" strokeweight=".48pt" strokecolor="#000000">
              <v:stroke dashstyle="solid"/>
            </v:line>
            <v:line style="position:absolute" from="1685,15064" to="1695,15064" stroked="true" strokeweight=".47998pt" strokecolor="#000000">
              <v:stroke dashstyle="solid"/>
            </v:line>
            <v:line style="position:absolute" from="1685,15064" to="1695,15064" stroked="true" strokeweight=".47998pt" strokecolor="#000000">
              <v:stroke dashstyle="solid"/>
            </v:line>
            <v:line style="position:absolute" from="1695,15064" to="10214,15064" stroked="true" strokeweight=".47998pt" strokecolor="#000000">
              <v:stroke dashstyle="solid"/>
            </v:line>
            <v:line style="position:absolute" from="10219,1440" to="10219,15060" stroked="true" strokeweight=".47998pt" strokecolor="#000000">
              <v:stroke dashstyle="solid"/>
            </v:line>
            <v:line style="position:absolute" from="10214,15064" to="10224,15064" stroked="true" strokeweight=".47998pt" strokecolor="#000000">
              <v:stroke dashstyle="solid"/>
            </v:line>
            <v:line style="position:absolute" from="10214,15064" to="10224,15064" stroked="true" strokeweight=".47998pt" strokecolor="#000000">
              <v:stroke dashstyle="solid"/>
            </v:line>
            <w10:wrap type="none"/>
          </v:group>
        </w:pict>
      </w:r>
      <w:r>
        <w:rPr/>
        <w:t>综上所述，本项目符合相关规划要求。</w:t>
      </w:r>
    </w:p>
    <w:p>
      <w:pPr>
        <w:pStyle w:val="BodyText"/>
        <w:spacing w:before="154"/>
        <w:ind w:left="698"/>
      </w:pPr>
      <w:r>
        <w:rPr>
          <w:rFonts w:ascii="Times New Roman" w:eastAsia="Times New Roman"/>
        </w:rPr>
        <w:t>2</w:t>
      </w:r>
      <w:r>
        <w:rPr/>
        <w:t>、选址合理性</w:t>
      </w:r>
    </w:p>
    <w:p>
      <w:pPr>
        <w:pStyle w:val="BodyText"/>
        <w:spacing w:line="338" w:lineRule="auto" w:before="133"/>
        <w:ind w:left="218" w:right="234" w:firstLine="479"/>
        <w:jc w:val="both"/>
      </w:pPr>
      <w:r>
        <w:rPr>
          <w:spacing w:val="-2"/>
        </w:rPr>
        <w:t>本项目位于开江县新宁镇。本工程全长 </w:t>
      </w:r>
      <w:r>
        <w:rPr>
          <w:rFonts w:ascii="Times New Roman" w:eastAsia="Times New Roman"/>
        </w:rPr>
        <w:t>314m</w:t>
      </w:r>
      <w:r>
        <w:rPr/>
        <w:t>，符合《四川省达州市开江县</w:t>
      </w:r>
      <w:r>
        <w:rPr>
          <w:spacing w:val="-1"/>
        </w:rPr>
        <w:t>城市总体规划</w:t>
      </w:r>
      <w:r>
        <w:rPr/>
        <w:t>（2013-2030）》的中心城区道路系统规划。</w:t>
      </w:r>
    </w:p>
    <w:p>
      <w:pPr>
        <w:pStyle w:val="BodyText"/>
        <w:spacing w:line="357" w:lineRule="auto" w:before="53"/>
        <w:ind w:left="218" w:right="231" w:firstLine="479"/>
        <w:jc w:val="both"/>
      </w:pPr>
      <w:r>
        <w:rPr>
          <w:spacing w:val="-8"/>
        </w:rPr>
        <w:t>根据现场勘查，项目道路用地红线范围内，不存在临时堆土、建筑垃圾等施工期环境遗留问题，区域地势平坦，工程占地范围内不涉及居民拆迁。</w:t>
      </w:r>
    </w:p>
    <w:p>
      <w:pPr>
        <w:pStyle w:val="BodyText"/>
        <w:spacing w:line="357" w:lineRule="auto" w:before="34"/>
        <w:ind w:left="218" w:right="231" w:firstLine="479"/>
        <w:jc w:val="both"/>
      </w:pPr>
      <w:r>
        <w:rPr>
          <w:spacing w:val="-7"/>
        </w:rPr>
        <w:t>项目周边市政道路完善，施工材料运输便捷。本项目道路起点与现有道路相</w:t>
      </w:r>
      <w:r>
        <w:rPr>
          <w:spacing w:val="-10"/>
        </w:rPr>
        <w:t>接。起点位连接滨河路，终点连接峨城大道，沿线沿线两侧有少量居民，最近处</w:t>
      </w:r>
      <w:r>
        <w:rPr>
          <w:spacing w:val="-36"/>
        </w:rPr>
        <w:t>为 </w:t>
      </w:r>
      <w:r>
        <w:rPr>
          <w:rFonts w:ascii="Times New Roman" w:eastAsia="Times New Roman"/>
        </w:rPr>
        <w:t>20m</w:t>
      </w:r>
      <w:r>
        <w:rPr>
          <w:spacing w:val="-6"/>
        </w:rPr>
        <w:t>，其它道路沿线红线外 </w:t>
      </w:r>
      <w:r>
        <w:rPr>
          <w:rFonts w:ascii="Times New Roman" w:eastAsia="Times New Roman"/>
        </w:rPr>
        <w:t>200m </w:t>
      </w:r>
      <w:r>
        <w:rPr/>
        <w:t>范围内主要为农田或荒地。</w:t>
      </w:r>
    </w:p>
    <w:p>
      <w:pPr>
        <w:pStyle w:val="BodyText"/>
        <w:spacing w:line="345" w:lineRule="auto" w:before="5"/>
        <w:ind w:left="218" w:right="231" w:firstLine="479"/>
        <w:jc w:val="both"/>
      </w:pPr>
      <w:r>
        <w:rPr>
          <w:spacing w:val="-8"/>
        </w:rPr>
        <w:t>总体上，本项目道路沿线外环境较简单，道路红线外 </w:t>
      </w:r>
      <w:r>
        <w:rPr>
          <w:rFonts w:ascii="Times New Roman" w:eastAsia="Times New Roman"/>
        </w:rPr>
        <w:t>200m </w:t>
      </w:r>
      <w:r>
        <w:rPr/>
        <w:t>范围内主要为农</w:t>
      </w:r>
      <w:r>
        <w:rPr>
          <w:spacing w:val="-8"/>
        </w:rPr>
        <w:t>田或荒地。项目评价范围内不涉及自然保护区、风景名胜区及重点文物古迹，也</w:t>
      </w:r>
      <w:r>
        <w:rPr>
          <w:spacing w:val="-1"/>
        </w:rPr>
        <w:t>无工业企业。项目周边无明显的环境制约因素，因此，本项目选址合理。 </w:t>
      </w:r>
    </w:p>
    <w:p>
      <w:pPr>
        <w:pStyle w:val="Heading3"/>
        <w:spacing w:before="48"/>
      </w:pPr>
      <w:r>
        <w:rPr>
          <w:w w:val="95"/>
        </w:rPr>
        <w:t>五、项目概况</w:t>
      </w:r>
    </w:p>
    <w:p>
      <w:pPr>
        <w:spacing w:before="151"/>
        <w:ind w:left="700" w:right="0" w:firstLine="0"/>
        <w:jc w:val="left"/>
        <w:rPr>
          <w:b/>
          <w:sz w:val="24"/>
        </w:rPr>
      </w:pPr>
      <w:r>
        <w:rPr>
          <w:rFonts w:ascii="Times New Roman" w:eastAsia="Times New Roman"/>
          <w:b/>
          <w:w w:val="95"/>
          <w:sz w:val="24"/>
        </w:rPr>
        <w:t>1</w:t>
      </w:r>
      <w:r>
        <w:rPr>
          <w:b/>
          <w:w w:val="95"/>
          <w:sz w:val="24"/>
        </w:rPr>
        <w:t>、项目基本情况</w:t>
      </w:r>
    </w:p>
    <w:p>
      <w:pPr>
        <w:pStyle w:val="BodyText"/>
        <w:spacing w:line="336" w:lineRule="auto" w:before="135"/>
        <w:ind w:left="698" w:right="2292"/>
      </w:pPr>
      <w:r>
        <w:rPr/>
        <w:t>项目名称：滨水景观 </w:t>
      </w:r>
      <w:r>
        <w:rPr>
          <w:rFonts w:ascii="Times New Roman" w:eastAsia="Times New Roman"/>
        </w:rPr>
        <w:t>3#</w:t>
      </w:r>
      <w:r>
        <w:rPr/>
        <w:t>桥连接峨城大道段道路工程 ； 建设单位：开江县住房和城乡规划建设局；</w:t>
      </w:r>
    </w:p>
    <w:p>
      <w:pPr>
        <w:pStyle w:val="BodyText"/>
        <w:spacing w:before="57"/>
        <w:ind w:left="698"/>
      </w:pPr>
      <w:r>
        <w:rPr/>
        <w:t>建设性质：新建；</w:t>
      </w:r>
    </w:p>
    <w:p>
      <w:pPr>
        <w:pStyle w:val="BodyText"/>
        <w:spacing w:before="150"/>
        <w:ind w:left="698"/>
      </w:pPr>
      <w:r>
        <w:rPr/>
        <w:t>建设地点：开江县新宁镇；</w:t>
      </w:r>
    </w:p>
    <w:p>
      <w:pPr>
        <w:pStyle w:val="BodyText"/>
        <w:spacing w:before="153"/>
        <w:ind w:left="698"/>
      </w:pPr>
      <w:r>
        <w:rPr/>
        <w:t>投资规模及资金来源：总投资为 </w:t>
      </w:r>
      <w:r>
        <w:rPr>
          <w:rFonts w:ascii="Times New Roman" w:eastAsia="Times New Roman"/>
        </w:rPr>
        <w:t>307.5283 </w:t>
      </w:r>
      <w:r>
        <w:rPr/>
        <w:t>万元，全部为业主自筹。</w:t>
      </w:r>
    </w:p>
    <w:p>
      <w:pPr>
        <w:pStyle w:val="Heading3"/>
        <w:spacing w:before="133"/>
      </w:pPr>
      <w:r>
        <w:rPr>
          <w:rFonts w:ascii="Times New Roman" w:eastAsia="Times New Roman"/>
          <w:w w:val="95"/>
        </w:rPr>
        <w:t>2</w:t>
      </w:r>
      <w:r>
        <w:rPr>
          <w:w w:val="95"/>
        </w:rPr>
        <w:t>、建设内容及规模</w:t>
      </w:r>
    </w:p>
    <w:p>
      <w:pPr>
        <w:pStyle w:val="BodyText"/>
        <w:spacing w:line="348" w:lineRule="auto" w:before="135"/>
        <w:ind w:left="218" w:right="231" w:firstLine="479"/>
        <w:jc w:val="both"/>
      </w:pPr>
      <w:r>
        <w:rPr>
          <w:spacing w:val="-5"/>
        </w:rPr>
        <w:t>本项目建设内容为道路路基工路面、人行道铺装、雨污管网安装、绿化、亮</w:t>
      </w:r>
      <w:r>
        <w:rPr>
          <w:spacing w:val="-8"/>
        </w:rPr>
        <w:t>化等工程。道路呈东西走向，全长 </w:t>
      </w:r>
      <w:r>
        <w:rPr>
          <w:rFonts w:ascii="Times New Roman" w:eastAsia="Times New Roman"/>
        </w:rPr>
        <w:t>314m</w:t>
      </w:r>
      <w:r>
        <w:rPr>
          <w:spacing w:val="-11"/>
        </w:rPr>
        <w:t>，红线宽 </w:t>
      </w:r>
      <w:r>
        <w:rPr>
          <w:rFonts w:ascii="Times New Roman" w:eastAsia="Times New Roman"/>
        </w:rPr>
        <w:t>16m</w:t>
      </w:r>
      <w:r>
        <w:rPr/>
        <w:t>，为城市次干道，设计车</w:t>
      </w:r>
      <w:r>
        <w:rPr>
          <w:spacing w:val="-31"/>
        </w:rPr>
        <w:t>速 </w:t>
      </w:r>
      <w:r>
        <w:rPr>
          <w:rFonts w:ascii="Times New Roman" w:eastAsia="Times New Roman"/>
        </w:rPr>
        <w:t>20km/h</w:t>
      </w:r>
      <w:r>
        <w:rPr>
          <w:spacing w:val="-3"/>
        </w:rPr>
        <w:t>，采用沥青混凝土路面。项目主要建设内容及规模见表 </w:t>
      </w:r>
      <w:r>
        <w:rPr>
          <w:rFonts w:ascii="Times New Roman" w:eastAsia="Times New Roman"/>
        </w:rPr>
        <w:t>1-1</w:t>
      </w:r>
      <w:r>
        <w:rPr/>
        <w:t>。</w:t>
      </w:r>
    </w:p>
    <w:p>
      <w:pPr>
        <w:pStyle w:val="Heading3"/>
        <w:tabs>
          <w:tab w:pos="861" w:val="left" w:leader="none"/>
        </w:tabs>
        <w:spacing w:before="13"/>
        <w:ind w:left="0" w:right="16"/>
        <w:jc w:val="center"/>
      </w:pPr>
      <w:r>
        <w:rPr/>
        <w:pict>
          <v:shape style="position:absolute;margin-left:89.903999pt;margin-top:26.065638pt;width:415.8pt;height:57.85pt;mso-position-horizontal-relative:page;mso-position-vertical-relative:paragraph;z-index:1072" type="#_x0000_t202" filled="false" stroked="false">
            <v:textbox inset="0,0,0,0">
              <w:txbxContent>
                <w:tbl>
                  <w:tblPr>
                    <w:tblW w:w="0" w:type="auto"/>
                    <w:jc w:val="lef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1015"/>
                    <w:gridCol w:w="1827"/>
                    <w:gridCol w:w="1822"/>
                    <w:gridCol w:w="1822"/>
                    <w:gridCol w:w="1822"/>
                  </w:tblGrid>
                  <w:tr>
                    <w:trPr>
                      <w:trHeight w:val="533" w:hRule="exact"/>
                    </w:trPr>
                    <w:tc>
                      <w:tcPr>
                        <w:tcW w:w="1015" w:type="dxa"/>
                      </w:tcPr>
                      <w:p>
                        <w:pPr>
                          <w:pStyle w:val="TableParagraph"/>
                          <w:spacing w:before="93"/>
                          <w:ind w:left="275" w:right="275"/>
                          <w:rPr>
                            <w:sz w:val="21"/>
                          </w:rPr>
                        </w:pPr>
                        <w:r>
                          <w:rPr>
                            <w:sz w:val="21"/>
                          </w:rPr>
                          <w:t>序号</w:t>
                        </w:r>
                      </w:p>
                    </w:tc>
                    <w:tc>
                      <w:tcPr>
                        <w:tcW w:w="1827" w:type="dxa"/>
                      </w:tcPr>
                      <w:p>
                        <w:pPr>
                          <w:pStyle w:val="TableParagraph"/>
                          <w:spacing w:before="93"/>
                          <w:ind w:left="465" w:right="476"/>
                          <w:rPr>
                            <w:sz w:val="21"/>
                          </w:rPr>
                        </w:pPr>
                        <w:r>
                          <w:rPr>
                            <w:sz w:val="21"/>
                          </w:rPr>
                          <w:t>道路长度</w:t>
                        </w:r>
                      </w:p>
                    </w:tc>
                    <w:tc>
                      <w:tcPr>
                        <w:tcW w:w="1822" w:type="dxa"/>
                      </w:tcPr>
                      <w:p>
                        <w:pPr>
                          <w:pStyle w:val="TableParagraph"/>
                          <w:spacing w:before="93"/>
                          <w:ind w:left="461" w:right="476"/>
                          <w:rPr>
                            <w:sz w:val="21"/>
                          </w:rPr>
                        </w:pPr>
                        <w:r>
                          <w:rPr>
                            <w:sz w:val="21"/>
                          </w:rPr>
                          <w:t>道路宽度</w:t>
                        </w:r>
                      </w:p>
                    </w:tc>
                    <w:tc>
                      <w:tcPr>
                        <w:tcW w:w="1822" w:type="dxa"/>
                      </w:tcPr>
                      <w:p>
                        <w:pPr>
                          <w:pStyle w:val="TableParagraph"/>
                          <w:spacing w:before="93"/>
                          <w:ind w:left="362" w:right="362"/>
                          <w:rPr>
                            <w:sz w:val="21"/>
                          </w:rPr>
                        </w:pPr>
                        <w:r>
                          <w:rPr>
                            <w:sz w:val="21"/>
                          </w:rPr>
                          <w:t>车道数</w:t>
                        </w:r>
                      </w:p>
                    </w:tc>
                    <w:tc>
                      <w:tcPr>
                        <w:tcW w:w="1822" w:type="dxa"/>
                      </w:tcPr>
                      <w:p>
                        <w:pPr>
                          <w:pStyle w:val="TableParagraph"/>
                          <w:spacing w:before="93"/>
                          <w:ind w:left="463" w:right="474"/>
                          <w:rPr>
                            <w:sz w:val="21"/>
                          </w:rPr>
                        </w:pPr>
                        <w:r>
                          <w:rPr>
                            <w:sz w:val="21"/>
                          </w:rPr>
                          <w:t>设计车速</w:t>
                        </w:r>
                      </w:p>
                    </w:tc>
                  </w:tr>
                  <w:tr>
                    <w:trPr>
                      <w:trHeight w:val="619" w:hRule="exact"/>
                    </w:trPr>
                    <w:tc>
                      <w:tcPr>
                        <w:tcW w:w="1015" w:type="dxa"/>
                      </w:tcPr>
                      <w:p>
                        <w:pPr>
                          <w:pStyle w:val="TableParagraph"/>
                          <w:spacing w:before="180"/>
                          <w:ind w:right="5"/>
                          <w:rPr>
                            <w:rFonts w:ascii="Times New Roman"/>
                            <w:sz w:val="21"/>
                          </w:rPr>
                        </w:pPr>
                        <w:r>
                          <w:rPr>
                            <w:rFonts w:ascii="Times New Roman"/>
                            <w:w w:val="100"/>
                            <w:sz w:val="21"/>
                          </w:rPr>
                          <w:t>1</w:t>
                        </w:r>
                      </w:p>
                    </w:tc>
                    <w:tc>
                      <w:tcPr>
                        <w:tcW w:w="1827" w:type="dxa"/>
                      </w:tcPr>
                      <w:p>
                        <w:pPr>
                          <w:pStyle w:val="TableParagraph"/>
                          <w:spacing w:before="180"/>
                          <w:ind w:left="465" w:right="465"/>
                          <w:rPr>
                            <w:rFonts w:ascii="Times New Roman"/>
                            <w:sz w:val="21"/>
                          </w:rPr>
                        </w:pPr>
                        <w:r>
                          <w:rPr>
                            <w:rFonts w:ascii="Times New Roman"/>
                            <w:sz w:val="21"/>
                          </w:rPr>
                          <w:t>314m</w:t>
                        </w:r>
                      </w:p>
                    </w:tc>
                    <w:tc>
                      <w:tcPr>
                        <w:tcW w:w="1822" w:type="dxa"/>
                      </w:tcPr>
                      <w:p>
                        <w:pPr>
                          <w:pStyle w:val="TableParagraph"/>
                          <w:spacing w:before="180"/>
                          <w:ind w:left="461" w:right="461"/>
                          <w:rPr>
                            <w:rFonts w:ascii="Times New Roman"/>
                            <w:sz w:val="21"/>
                          </w:rPr>
                        </w:pPr>
                        <w:r>
                          <w:rPr>
                            <w:rFonts w:ascii="Times New Roman"/>
                            <w:sz w:val="21"/>
                          </w:rPr>
                          <w:t>16m</w:t>
                        </w:r>
                      </w:p>
                    </w:tc>
                    <w:tc>
                      <w:tcPr>
                        <w:tcW w:w="1822" w:type="dxa"/>
                      </w:tcPr>
                      <w:p>
                        <w:pPr>
                          <w:pStyle w:val="TableParagraph"/>
                          <w:spacing w:before="138"/>
                          <w:ind w:left="364" w:right="362"/>
                          <w:rPr>
                            <w:sz w:val="21"/>
                          </w:rPr>
                        </w:pPr>
                        <w:r>
                          <w:rPr>
                            <w:sz w:val="21"/>
                          </w:rPr>
                          <w:t>双向两车道</w:t>
                        </w:r>
                      </w:p>
                    </w:tc>
                    <w:tc>
                      <w:tcPr>
                        <w:tcW w:w="1822" w:type="dxa"/>
                      </w:tcPr>
                      <w:p>
                        <w:pPr>
                          <w:pStyle w:val="TableParagraph"/>
                          <w:spacing w:before="180"/>
                          <w:ind w:left="463" w:right="463"/>
                          <w:rPr>
                            <w:rFonts w:ascii="Times New Roman"/>
                            <w:sz w:val="21"/>
                          </w:rPr>
                        </w:pPr>
                        <w:r>
                          <w:rPr>
                            <w:rFonts w:ascii="Times New Roman"/>
                            <w:sz w:val="21"/>
                          </w:rPr>
                          <w:t>20km/h</w:t>
                        </w:r>
                      </w:p>
                    </w:tc>
                  </w:tr>
                </w:tbl>
                <w:p>
                  <w:pPr>
                    <w:pStyle w:val="BodyText"/>
                  </w:pPr>
                </w:p>
              </w:txbxContent>
            </v:textbox>
            <w10:wrap type="none"/>
          </v:shape>
        </w:pict>
      </w:r>
      <w:r>
        <w:rPr/>
        <w:t>表</w:t>
      </w:r>
      <w:r>
        <w:rPr>
          <w:spacing w:val="-60"/>
        </w:rPr>
        <w:t> </w:t>
      </w:r>
      <w:r>
        <w:rPr>
          <w:rFonts w:ascii="Times New Roman" w:eastAsia="Times New Roman"/>
        </w:rPr>
        <w:t>1-1</w:t>
        <w:tab/>
      </w:r>
      <w:r>
        <w:rPr>
          <w:w w:val="95"/>
        </w:rPr>
        <w:t>主要建设内容一览表</w:t>
      </w:r>
    </w:p>
    <w:p>
      <w:pPr>
        <w:pStyle w:val="BodyText"/>
        <w:rPr>
          <w:b/>
          <w:sz w:val="26"/>
        </w:rPr>
      </w:pPr>
    </w:p>
    <w:p>
      <w:pPr>
        <w:pStyle w:val="BodyText"/>
        <w:rPr>
          <w:b/>
          <w:sz w:val="26"/>
        </w:rPr>
      </w:pPr>
    </w:p>
    <w:p>
      <w:pPr>
        <w:pStyle w:val="BodyText"/>
        <w:rPr>
          <w:b/>
          <w:sz w:val="26"/>
        </w:rPr>
      </w:pPr>
    </w:p>
    <w:p>
      <w:pPr>
        <w:pStyle w:val="BodyText"/>
        <w:spacing w:before="9"/>
        <w:rPr>
          <w:b/>
          <w:sz w:val="20"/>
        </w:rPr>
      </w:pPr>
    </w:p>
    <w:p>
      <w:pPr>
        <w:spacing w:before="1"/>
        <w:ind w:left="700" w:right="0" w:firstLine="0"/>
        <w:jc w:val="left"/>
        <w:rPr>
          <w:b/>
          <w:sz w:val="24"/>
        </w:rPr>
      </w:pPr>
      <w:r>
        <w:rPr>
          <w:rFonts w:ascii="Times New Roman" w:eastAsia="Times New Roman"/>
          <w:b/>
          <w:w w:val="95"/>
          <w:sz w:val="24"/>
        </w:rPr>
        <w:t>3</w:t>
      </w:r>
      <w:r>
        <w:rPr>
          <w:b/>
          <w:w w:val="95"/>
          <w:sz w:val="24"/>
        </w:rPr>
        <w:t>、项目组成表</w:t>
      </w:r>
    </w:p>
    <w:p>
      <w:pPr>
        <w:pStyle w:val="BodyText"/>
        <w:spacing w:before="136"/>
        <w:ind w:left="698"/>
      </w:pPr>
      <w:r>
        <w:rPr/>
        <w:t>项目组成及主要环境问题见下表。</w:t>
      </w:r>
    </w:p>
    <w:p>
      <w:pPr>
        <w:pStyle w:val="Heading3"/>
        <w:tabs>
          <w:tab w:pos="861" w:val="left" w:leader="none"/>
        </w:tabs>
        <w:spacing w:before="151"/>
        <w:ind w:left="0" w:right="17"/>
        <w:jc w:val="center"/>
      </w:pPr>
      <w:r>
        <w:rPr/>
        <w:t>表</w:t>
      </w:r>
      <w:r>
        <w:rPr>
          <w:spacing w:val="-60"/>
        </w:rPr>
        <w:t> </w:t>
      </w:r>
      <w:r>
        <w:rPr>
          <w:rFonts w:ascii="Times New Roman" w:eastAsia="Times New Roman"/>
        </w:rPr>
        <w:t>1-2</w:t>
        <w:tab/>
      </w:r>
      <w:r>
        <w:rPr>
          <w:w w:val="95"/>
        </w:rPr>
        <w:t>项目组成及主要环境问题一览表</w:t>
      </w:r>
    </w:p>
    <w:p>
      <w:pPr>
        <w:spacing w:after="0"/>
        <w:jc w:val="center"/>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351" w:hRule="exact"/>
        </w:trPr>
        <w:tc>
          <w:tcPr>
            <w:tcW w:w="142" w:type="dxa"/>
            <w:vMerge w:val="restart"/>
            <w:tcBorders>
              <w:right w:val="single" w:sz="6" w:space="0" w:color="000000"/>
            </w:tcBorders>
          </w:tcPr>
          <w:p>
            <w:pPr/>
          </w:p>
        </w:tc>
        <w:tc>
          <w:tcPr>
            <w:tcW w:w="960" w:type="dxa"/>
            <w:vMerge w:val="restart"/>
            <w:tcBorders>
              <w:top w:val="single" w:sz="10" w:space="0" w:color="000000"/>
              <w:left w:val="single" w:sz="6" w:space="0" w:color="000000"/>
              <w:right w:val="single" w:sz="6" w:space="0" w:color="000000"/>
            </w:tcBorders>
          </w:tcPr>
          <w:p>
            <w:pPr>
              <w:pStyle w:val="TableParagraph"/>
              <w:spacing w:before="136"/>
              <w:ind w:left="261"/>
              <w:jc w:val="left"/>
              <w:rPr>
                <w:sz w:val="21"/>
              </w:rPr>
            </w:pPr>
            <w:r>
              <w:rPr>
                <w:sz w:val="21"/>
              </w:rPr>
              <w:t>名称</w:t>
            </w:r>
          </w:p>
        </w:tc>
        <w:tc>
          <w:tcPr>
            <w:tcW w:w="1177" w:type="dxa"/>
            <w:vMerge w:val="restart"/>
            <w:tcBorders>
              <w:top w:val="single" w:sz="10" w:space="0" w:color="000000"/>
              <w:left w:val="single" w:sz="6" w:space="0" w:color="000000"/>
              <w:right w:val="single" w:sz="6" w:space="0" w:color="000000"/>
            </w:tcBorders>
          </w:tcPr>
          <w:p>
            <w:pPr>
              <w:pStyle w:val="TableParagraph"/>
              <w:spacing w:before="136"/>
              <w:ind w:left="160"/>
              <w:jc w:val="left"/>
              <w:rPr>
                <w:sz w:val="21"/>
              </w:rPr>
            </w:pPr>
            <w:r>
              <w:rPr>
                <w:sz w:val="21"/>
              </w:rPr>
              <w:t>建设内容</w:t>
            </w:r>
          </w:p>
        </w:tc>
        <w:tc>
          <w:tcPr>
            <w:tcW w:w="4035" w:type="dxa"/>
            <w:vMerge w:val="restart"/>
            <w:tcBorders>
              <w:top w:val="single" w:sz="10" w:space="0" w:color="000000"/>
              <w:left w:val="single" w:sz="6" w:space="0" w:color="000000"/>
              <w:right w:val="single" w:sz="6" w:space="0" w:color="000000"/>
            </w:tcBorders>
          </w:tcPr>
          <w:p>
            <w:pPr>
              <w:pStyle w:val="TableParagraph"/>
              <w:spacing w:before="136"/>
              <w:ind w:left="7" w:right="7"/>
              <w:rPr>
                <w:sz w:val="21"/>
              </w:rPr>
            </w:pPr>
            <w:r>
              <w:rPr>
                <w:sz w:val="21"/>
              </w:rPr>
              <w:t>建设规模</w:t>
            </w:r>
          </w:p>
        </w:tc>
        <w:tc>
          <w:tcPr>
            <w:tcW w:w="2074" w:type="dxa"/>
            <w:gridSpan w:val="2"/>
            <w:tcBorders>
              <w:top w:val="single" w:sz="10" w:space="0" w:color="000000"/>
              <w:left w:val="single" w:sz="6" w:space="0" w:color="000000"/>
              <w:bottom w:val="single" w:sz="6" w:space="0" w:color="000000"/>
              <w:right w:val="single" w:sz="6" w:space="0" w:color="000000"/>
            </w:tcBorders>
          </w:tcPr>
          <w:p>
            <w:pPr>
              <w:pStyle w:val="TableParagraph"/>
              <w:spacing w:line="267" w:lineRule="exact"/>
              <w:ind w:left="398"/>
              <w:jc w:val="left"/>
              <w:rPr>
                <w:sz w:val="21"/>
              </w:rPr>
            </w:pPr>
            <w:r>
              <w:rPr>
                <w:sz w:val="21"/>
              </w:rPr>
              <w:t>主要环境问题</w:t>
            </w:r>
          </w:p>
        </w:tc>
        <w:tc>
          <w:tcPr>
            <w:tcW w:w="142" w:type="dxa"/>
            <w:tcBorders>
              <w:left w:val="single" w:sz="6" w:space="0" w:color="000000"/>
              <w:bottom w:val="nil"/>
            </w:tcBorders>
          </w:tcPr>
          <w:p>
            <w:pPr/>
          </w:p>
        </w:tc>
      </w:tr>
      <w:tr>
        <w:trPr>
          <w:trHeight w:val="286"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vMerge/>
            <w:tcBorders>
              <w:left w:val="single" w:sz="6" w:space="0" w:color="000000"/>
              <w:bottom w:val="single" w:sz="6" w:space="0" w:color="000000"/>
              <w:right w:val="single" w:sz="6" w:space="0" w:color="000000"/>
            </w:tcBorders>
          </w:tcPr>
          <w:p>
            <w:pPr/>
          </w:p>
        </w:tc>
        <w:tc>
          <w:tcPr>
            <w:tcW w:w="4035" w:type="dxa"/>
            <w:vMerge/>
            <w:tcBorders>
              <w:left w:val="single" w:sz="6" w:space="0" w:color="000000"/>
              <w:bottom w:val="single" w:sz="6" w:space="0" w:color="000000"/>
              <w:right w:val="single" w:sz="6" w:space="0" w:color="000000"/>
            </w:tcBorders>
          </w:tcPr>
          <w:p>
            <w:pP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266"/>
              <w:jc w:val="left"/>
              <w:rPr>
                <w:sz w:val="21"/>
              </w:rPr>
            </w:pPr>
            <w:r>
              <w:rPr>
                <w:sz w:val="21"/>
              </w:rPr>
              <w:t>施工期</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04" w:right="104"/>
              <w:rPr>
                <w:sz w:val="21"/>
              </w:rPr>
            </w:pPr>
            <w:r>
              <w:rPr>
                <w:sz w:val="21"/>
              </w:rPr>
              <w:t>营运期</w:t>
            </w:r>
          </w:p>
        </w:tc>
        <w:tc>
          <w:tcPr>
            <w:tcW w:w="142" w:type="dxa"/>
            <w:tcBorders>
              <w:top w:val="nil"/>
              <w:left w:val="single" w:sz="6" w:space="0" w:color="000000"/>
              <w:bottom w:val="nil"/>
            </w:tcBorders>
          </w:tcPr>
          <w:p>
            <w:pPr/>
          </w:p>
        </w:tc>
      </w:tr>
      <w:tr>
        <w:trPr>
          <w:trHeight w:val="4179" w:hRule="exact"/>
        </w:trPr>
        <w:tc>
          <w:tcPr>
            <w:tcW w:w="142" w:type="dxa"/>
            <w:tcBorders>
              <w:top w:val="nil"/>
              <w:bottom w:val="nil"/>
              <w:right w:val="single" w:sz="6" w:space="0" w:color="000000"/>
            </w:tcBorders>
          </w:tcPr>
          <w:p>
            <w:pPr/>
          </w:p>
        </w:tc>
        <w:tc>
          <w:tcPr>
            <w:tcW w:w="960"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15"/>
              </w:rPr>
            </w:pPr>
          </w:p>
          <w:p>
            <w:pPr>
              <w:pStyle w:val="TableParagraph"/>
              <w:spacing w:before="1"/>
              <w:ind w:left="261" w:right="244"/>
              <w:jc w:val="left"/>
              <w:rPr>
                <w:sz w:val="21"/>
              </w:rPr>
            </w:pPr>
            <w:r>
              <w:rPr>
                <w:sz w:val="21"/>
              </w:rPr>
              <w:t>主体工程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6"/>
              <w:jc w:val="left"/>
              <w:rPr>
                <w:b/>
                <w:sz w:val="25"/>
              </w:rPr>
            </w:pPr>
          </w:p>
          <w:p>
            <w:pPr>
              <w:pStyle w:val="TableParagraph"/>
              <w:spacing w:before="1"/>
              <w:ind w:left="160"/>
              <w:jc w:val="left"/>
              <w:rPr>
                <w:sz w:val="21"/>
              </w:rPr>
            </w:pPr>
            <w:r>
              <w:rPr>
                <w:sz w:val="21"/>
              </w:rPr>
              <w:t>道路工程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06" w:lineRule="exact"/>
              <w:ind w:left="100" w:firstLine="422"/>
              <w:jc w:val="left"/>
              <w:rPr>
                <w:sz w:val="21"/>
              </w:rPr>
            </w:pPr>
            <w:r>
              <w:rPr>
                <w:b/>
                <w:spacing w:val="-9"/>
                <w:sz w:val="21"/>
              </w:rPr>
              <w:t>路基：</w:t>
            </w:r>
            <w:r>
              <w:rPr>
                <w:spacing w:val="-13"/>
                <w:sz w:val="21"/>
              </w:rPr>
              <w:t>总长为 </w:t>
            </w:r>
            <w:r>
              <w:rPr>
                <w:rFonts w:ascii="Times New Roman" w:eastAsia="Times New Roman"/>
                <w:spacing w:val="-7"/>
                <w:sz w:val="21"/>
              </w:rPr>
              <w:t>314m</w:t>
            </w:r>
            <w:r>
              <w:rPr>
                <w:spacing w:val="-11"/>
                <w:sz w:val="21"/>
              </w:rPr>
              <w:t>，红线宽 </w:t>
            </w:r>
            <w:r>
              <w:rPr>
                <w:rFonts w:ascii="Times New Roman" w:eastAsia="Times New Roman"/>
                <w:spacing w:val="-8"/>
                <w:sz w:val="21"/>
              </w:rPr>
              <w:t>16m</w:t>
            </w:r>
            <w:r>
              <w:rPr>
                <w:spacing w:val="-18"/>
                <w:sz w:val="21"/>
              </w:rPr>
              <w:t>，设</w:t>
            </w:r>
          </w:p>
          <w:p>
            <w:pPr>
              <w:pStyle w:val="TableParagraph"/>
              <w:spacing w:line="240" w:lineRule="exact" w:before="28"/>
              <w:ind w:left="100" w:right="3"/>
              <w:jc w:val="left"/>
              <w:rPr>
                <w:sz w:val="21"/>
              </w:rPr>
            </w:pPr>
            <w:r>
              <w:rPr>
                <w:sz w:val="21"/>
              </w:rPr>
              <w:t>计时速 </w:t>
            </w:r>
            <w:r>
              <w:rPr>
                <w:rFonts w:ascii="Times New Roman" w:eastAsia="Times New Roman"/>
                <w:sz w:val="21"/>
              </w:rPr>
              <w:t>20km/h</w:t>
            </w:r>
            <w:r>
              <w:rPr>
                <w:sz w:val="21"/>
              </w:rPr>
              <w:t>；机动车道为沥青混凝土， 车行道宽 </w:t>
            </w:r>
            <w:r>
              <w:rPr>
                <w:rFonts w:ascii="Times New Roman" w:eastAsia="Times New Roman"/>
                <w:sz w:val="21"/>
              </w:rPr>
              <w:t>10m</w:t>
            </w:r>
            <w:r>
              <w:rPr>
                <w:sz w:val="21"/>
              </w:rPr>
              <w:t>，人行道宽 </w:t>
            </w:r>
            <w:r>
              <w:rPr>
                <w:rFonts w:ascii="Times New Roman" w:eastAsia="Times New Roman"/>
                <w:sz w:val="21"/>
              </w:rPr>
              <w:t>6m</w:t>
            </w:r>
            <w:r>
              <w:rPr>
                <w:sz w:val="21"/>
              </w:rPr>
              <w:t>。路基宽度</w:t>
            </w:r>
          </w:p>
          <w:p>
            <w:pPr>
              <w:pStyle w:val="TableParagraph"/>
              <w:spacing w:line="212" w:lineRule="exact"/>
              <w:ind w:left="100"/>
              <w:jc w:val="left"/>
              <w:rPr>
                <w:sz w:val="21"/>
              </w:rPr>
            </w:pPr>
            <w:r>
              <w:rPr>
                <w:rFonts w:ascii="Times New Roman" w:eastAsia="Times New Roman"/>
                <w:sz w:val="21"/>
              </w:rPr>
              <w:t>16m</w:t>
            </w:r>
            <w:r>
              <w:rPr>
                <w:sz w:val="21"/>
              </w:rPr>
              <w:t>。</w:t>
            </w:r>
          </w:p>
          <w:p>
            <w:pPr>
              <w:pStyle w:val="TableParagraph"/>
              <w:spacing w:line="240" w:lineRule="exact" w:before="28"/>
              <w:ind w:left="100" w:firstLine="422"/>
              <w:jc w:val="left"/>
              <w:rPr>
                <w:sz w:val="21"/>
              </w:rPr>
            </w:pPr>
            <w:r>
              <w:rPr>
                <w:b/>
                <w:sz w:val="21"/>
              </w:rPr>
              <w:t>路面：</w:t>
            </w:r>
            <w:r>
              <w:rPr>
                <w:sz w:val="21"/>
              </w:rPr>
              <w:t>设计采用标准轴载，双轮组单轴 </w:t>
            </w:r>
            <w:r>
              <w:rPr>
                <w:rFonts w:ascii="Times New Roman" w:eastAsia="Times New Roman"/>
                <w:sz w:val="21"/>
              </w:rPr>
              <w:t>100KN</w:t>
            </w:r>
            <w:r>
              <w:rPr>
                <w:sz w:val="21"/>
              </w:rPr>
              <w:t>（</w:t>
            </w:r>
            <w:r>
              <w:rPr>
                <w:rFonts w:ascii="Times New Roman" w:eastAsia="Times New Roman"/>
                <w:sz w:val="21"/>
              </w:rPr>
              <w:t>BZZ-100</w:t>
            </w:r>
            <w:r>
              <w:rPr>
                <w:sz w:val="21"/>
              </w:rPr>
              <w:t>）。</w:t>
            </w:r>
          </w:p>
          <w:p>
            <w:pPr>
              <w:pStyle w:val="TableParagraph"/>
              <w:spacing w:line="247" w:lineRule="exact"/>
              <w:ind w:left="100"/>
              <w:jc w:val="left"/>
              <w:rPr>
                <w:sz w:val="21"/>
              </w:rPr>
            </w:pPr>
            <w:r>
              <w:rPr>
                <w:sz w:val="21"/>
              </w:rPr>
              <w:t>车行道</w:t>
            </w:r>
            <w:r>
              <w:rPr>
                <w:rFonts w:ascii="Times New Roman" w:eastAsia="Times New Roman"/>
                <w:sz w:val="21"/>
              </w:rPr>
              <w:t>: 4</w:t>
            </w:r>
            <w:r>
              <w:rPr>
                <w:sz w:val="21"/>
              </w:rPr>
              <w:t>厘米细粒式沥青砼面层</w:t>
            </w:r>
            <w:r>
              <w:rPr>
                <w:rFonts w:ascii="Times New Roman" w:eastAsia="Times New Roman"/>
                <w:sz w:val="21"/>
              </w:rPr>
              <w:t>+5</w:t>
            </w:r>
            <w:r>
              <w:rPr>
                <w:sz w:val="21"/>
              </w:rPr>
              <w:t>厘米中</w:t>
            </w:r>
          </w:p>
          <w:p>
            <w:pPr>
              <w:pStyle w:val="TableParagraph"/>
              <w:spacing w:line="274" w:lineRule="exact" w:before="16"/>
              <w:ind w:left="100"/>
              <w:jc w:val="left"/>
              <w:rPr>
                <w:sz w:val="21"/>
              </w:rPr>
            </w:pPr>
            <w:r>
              <w:rPr>
                <w:spacing w:val="-2"/>
                <w:sz w:val="21"/>
              </w:rPr>
              <w:t>粒式沥青砼</w:t>
            </w:r>
            <w:r>
              <w:rPr>
                <w:rFonts w:ascii="Times New Roman" w:eastAsia="Times New Roman"/>
                <w:sz w:val="21"/>
              </w:rPr>
              <w:t>+20</w:t>
            </w:r>
            <w:r>
              <w:rPr>
                <w:spacing w:val="-9"/>
                <w:sz w:val="21"/>
              </w:rPr>
              <w:t>厘米水稳层</w:t>
            </w:r>
            <w:r>
              <w:rPr>
                <w:sz w:val="21"/>
              </w:rPr>
              <w:t>（</w:t>
            </w:r>
            <w:r>
              <w:rPr>
                <w:spacing w:val="-2"/>
                <w:sz w:val="21"/>
              </w:rPr>
              <w:t>水泥</w:t>
            </w:r>
            <w:r>
              <w:rPr>
                <w:rFonts w:ascii="Times New Roman" w:eastAsia="Times New Roman"/>
                <w:spacing w:val="-6"/>
                <w:sz w:val="21"/>
              </w:rPr>
              <w:t>5%</w:t>
            </w:r>
            <w:r>
              <w:rPr>
                <w:spacing w:val="-6"/>
                <w:sz w:val="21"/>
              </w:rPr>
              <w:t>）</w:t>
            </w:r>
            <w:r>
              <w:rPr>
                <w:rFonts w:ascii="Times New Roman" w:eastAsia="Times New Roman"/>
                <w:spacing w:val="-6"/>
                <w:sz w:val="21"/>
              </w:rPr>
              <w:t>+20 </w:t>
            </w:r>
            <w:r>
              <w:rPr>
                <w:spacing w:val="-12"/>
                <w:sz w:val="21"/>
              </w:rPr>
              <w:t>厘米石灰、粉煤灰、碎石基层</w:t>
            </w:r>
            <w:r>
              <w:rPr>
                <w:spacing w:val="-9"/>
                <w:sz w:val="21"/>
              </w:rPr>
              <w:t>（</w:t>
            </w:r>
            <w:r>
              <w:rPr>
                <w:rFonts w:ascii="Times New Roman" w:eastAsia="Times New Roman"/>
                <w:spacing w:val="-9"/>
                <w:sz w:val="21"/>
              </w:rPr>
              <w:t>7</w:t>
            </w:r>
            <w:r>
              <w:rPr>
                <w:spacing w:val="-9"/>
                <w:sz w:val="21"/>
              </w:rPr>
              <w:t>：</w:t>
            </w:r>
            <w:r>
              <w:rPr>
                <w:rFonts w:ascii="Times New Roman" w:eastAsia="Times New Roman"/>
                <w:spacing w:val="-9"/>
                <w:sz w:val="21"/>
              </w:rPr>
              <w:t>13</w:t>
            </w:r>
            <w:r>
              <w:rPr>
                <w:spacing w:val="-9"/>
                <w:sz w:val="21"/>
              </w:rPr>
              <w:t>：</w:t>
            </w:r>
            <w:r>
              <w:rPr>
                <w:rFonts w:ascii="Times New Roman" w:eastAsia="Times New Roman"/>
                <w:spacing w:val="-9"/>
                <w:sz w:val="21"/>
              </w:rPr>
              <w:t>80</w:t>
            </w:r>
            <w:r>
              <w:rPr>
                <w:spacing w:val="-9"/>
                <w:sz w:val="21"/>
              </w:rPr>
              <w:t>）</w:t>
            </w:r>
          </w:p>
          <w:p>
            <w:pPr>
              <w:pStyle w:val="TableParagraph"/>
              <w:spacing w:line="223" w:lineRule="auto"/>
              <w:ind w:left="100"/>
              <w:jc w:val="left"/>
              <w:rPr>
                <w:sz w:val="21"/>
              </w:rPr>
            </w:pPr>
            <w:r>
              <w:rPr>
                <w:rFonts w:ascii="Times New Roman" w:eastAsia="Times New Roman"/>
                <w:sz w:val="21"/>
              </w:rPr>
              <w:t>+20</w:t>
            </w:r>
            <w:r>
              <w:rPr>
                <w:spacing w:val="-9"/>
                <w:sz w:val="21"/>
              </w:rPr>
              <w:t>厘米石灰、碎石基层</w:t>
            </w:r>
            <w:r>
              <w:rPr>
                <w:spacing w:val="-8"/>
                <w:sz w:val="21"/>
              </w:rPr>
              <w:t>（</w:t>
            </w:r>
            <w:r>
              <w:rPr>
                <w:rFonts w:ascii="Times New Roman" w:eastAsia="Times New Roman"/>
                <w:spacing w:val="-8"/>
                <w:sz w:val="21"/>
              </w:rPr>
              <w:t>7</w:t>
            </w:r>
            <w:r>
              <w:rPr>
                <w:spacing w:val="-8"/>
                <w:sz w:val="21"/>
              </w:rPr>
              <w:t>：</w:t>
            </w:r>
            <w:r>
              <w:rPr>
                <w:rFonts w:ascii="Times New Roman" w:eastAsia="Times New Roman"/>
                <w:spacing w:val="-8"/>
                <w:sz w:val="21"/>
              </w:rPr>
              <w:t>93</w:t>
            </w:r>
            <w:r>
              <w:rPr>
                <w:spacing w:val="-8"/>
                <w:sz w:val="21"/>
              </w:rPr>
              <w:t>）</w:t>
            </w:r>
            <w:r>
              <w:rPr>
                <w:rFonts w:ascii="Times New Roman" w:eastAsia="Times New Roman"/>
                <w:spacing w:val="-8"/>
                <w:sz w:val="21"/>
              </w:rPr>
              <w:t>+</w:t>
            </w:r>
            <w:r>
              <w:rPr>
                <w:spacing w:val="-2"/>
                <w:sz w:val="21"/>
              </w:rPr>
              <w:t>页岩分</w:t>
            </w:r>
            <w:r>
              <w:rPr>
                <w:spacing w:val="-3"/>
                <w:sz w:val="21"/>
              </w:rPr>
              <w:t>层压实。</w:t>
            </w:r>
          </w:p>
          <w:p>
            <w:pPr>
              <w:pStyle w:val="TableParagraph"/>
              <w:spacing w:line="230" w:lineRule="auto" w:before="23"/>
              <w:ind w:left="100" w:right="120"/>
              <w:jc w:val="left"/>
              <w:rPr>
                <w:sz w:val="24"/>
              </w:rPr>
            </w:pPr>
            <w:r>
              <w:rPr>
                <w:sz w:val="21"/>
              </w:rPr>
              <w:t>人行道：</w:t>
            </w:r>
            <w:r>
              <w:rPr>
                <w:rFonts w:ascii="Times New Roman" w:eastAsia="Times New Roman"/>
                <w:sz w:val="21"/>
              </w:rPr>
              <w:t>250*500*50mm</w:t>
            </w:r>
            <w:r>
              <w:rPr>
                <w:sz w:val="21"/>
              </w:rPr>
              <w:t>条纹面砖</w:t>
            </w:r>
            <w:r>
              <w:rPr>
                <w:rFonts w:ascii="Times New Roman" w:eastAsia="Times New Roman"/>
                <w:sz w:val="21"/>
              </w:rPr>
              <w:t>+60mm </w:t>
            </w:r>
            <w:r>
              <w:rPr>
                <w:sz w:val="21"/>
              </w:rPr>
              <w:t>厚</w:t>
            </w:r>
            <w:r>
              <w:rPr>
                <w:rFonts w:ascii="Times New Roman" w:eastAsia="Times New Roman"/>
                <w:sz w:val="21"/>
              </w:rPr>
              <w:t>C10</w:t>
            </w:r>
            <w:r>
              <w:rPr>
                <w:sz w:val="21"/>
              </w:rPr>
              <w:t>砼垫层</w:t>
            </w:r>
            <w:r>
              <w:rPr>
                <w:rFonts w:ascii="Times New Roman" w:eastAsia="Times New Roman"/>
                <w:sz w:val="21"/>
              </w:rPr>
              <w:t>+50mm</w:t>
            </w:r>
            <w:r>
              <w:rPr>
                <w:sz w:val="21"/>
              </w:rPr>
              <w:t>厚填隙碎石层</w:t>
            </w:r>
            <w:r>
              <w:rPr>
                <w:rFonts w:ascii="Times New Roman" w:eastAsia="Times New Roman"/>
                <w:sz w:val="21"/>
              </w:rPr>
              <w:t>+</w:t>
            </w:r>
            <w:r>
              <w:rPr>
                <w:sz w:val="21"/>
              </w:rPr>
              <w:t>页岩分层压实，同时为了方便残疾人通行，人行道上面层方块转按照无障碍设计设置盲道和无障碍通道。</w:t>
            </w:r>
            <w:r>
              <w:rPr>
                <w:sz w:val="24"/>
              </w:rPr>
              <w:t> </w:t>
            </w:r>
          </w:p>
        </w:tc>
        <w:tc>
          <w:tcPr>
            <w:tcW w:w="1181"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line="237" w:lineRule="auto" w:before="158"/>
              <w:ind w:left="102" w:right="24"/>
              <w:rPr>
                <w:sz w:val="21"/>
              </w:rPr>
            </w:pPr>
            <w:r>
              <w:rPr>
                <w:spacing w:val="-2"/>
                <w:sz w:val="21"/>
              </w:rPr>
              <w:t>水土流失， </w:t>
            </w:r>
            <w:r>
              <w:rPr>
                <w:spacing w:val="-3"/>
                <w:sz w:val="21"/>
              </w:rPr>
              <w:t>施工噪声、施工废水、施工人员 生活污水、</w:t>
            </w:r>
            <w:r>
              <w:rPr>
                <w:spacing w:val="-22"/>
                <w:sz w:val="21"/>
              </w:rPr>
              <w:t>废气、施工</w:t>
            </w:r>
            <w:r>
              <w:rPr>
                <w:spacing w:val="-27"/>
                <w:sz w:val="21"/>
              </w:rPr>
              <w:t>扬尘、弃土弃渣、施工</w:t>
            </w:r>
            <w:r>
              <w:rPr>
                <w:spacing w:val="-1"/>
                <w:sz w:val="21"/>
              </w:rPr>
              <w:t>对沿线居 </w:t>
            </w:r>
            <w:r>
              <w:rPr>
                <w:spacing w:val="-22"/>
                <w:sz w:val="21"/>
              </w:rPr>
              <w:t>民生活、交</w:t>
            </w:r>
            <w:r>
              <w:rPr>
                <w:spacing w:val="-12"/>
                <w:sz w:val="21"/>
              </w:rPr>
              <w:t>通出行的 影响</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line="237" w:lineRule="auto" w:before="169"/>
              <w:ind w:left="125" w:right="123"/>
              <w:rPr>
                <w:sz w:val="21"/>
              </w:rPr>
            </w:pPr>
            <w:r>
              <w:rPr>
                <w:sz w:val="21"/>
              </w:rPr>
              <w:t>交通噪声、汽车尾 气、汽车扬 尘、环境正影响</w:t>
            </w:r>
          </w:p>
        </w:tc>
        <w:tc>
          <w:tcPr>
            <w:tcW w:w="142" w:type="dxa"/>
            <w:tcBorders>
              <w:top w:val="nil"/>
              <w:left w:val="single" w:sz="6" w:space="0" w:color="000000"/>
              <w:bottom w:val="nil"/>
            </w:tcBorders>
          </w:tcPr>
          <w:p>
            <w:pPr/>
          </w:p>
        </w:tc>
      </w:tr>
      <w:tr>
        <w:trPr>
          <w:trHeight w:val="2345"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6"/>
              <w:jc w:val="left"/>
              <w:rPr>
                <w:b/>
                <w:sz w:val="18"/>
              </w:rPr>
            </w:pPr>
          </w:p>
          <w:p>
            <w:pPr>
              <w:pStyle w:val="TableParagraph"/>
              <w:spacing w:line="272" w:lineRule="exact"/>
              <w:ind w:left="367" w:right="140" w:hanging="212"/>
              <w:jc w:val="left"/>
              <w:rPr>
                <w:sz w:val="21"/>
              </w:rPr>
            </w:pPr>
            <w:r>
              <w:rPr>
                <w:sz w:val="21"/>
              </w:rPr>
              <w:t>附属工程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5"/>
              </w:rPr>
            </w:pPr>
          </w:p>
          <w:p>
            <w:pPr>
              <w:pStyle w:val="TableParagraph"/>
              <w:ind w:left="369" w:right="142" w:hanging="209"/>
              <w:jc w:val="left"/>
              <w:rPr>
                <w:sz w:val="21"/>
              </w:rPr>
            </w:pPr>
            <w:r>
              <w:rPr>
                <w:sz w:val="21"/>
              </w:rPr>
              <w:t>雨污管网安装</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72" w:lineRule="exact" w:before="38"/>
              <w:ind w:left="100" w:right="96"/>
              <w:jc w:val="both"/>
              <w:rPr>
                <w:sz w:val="21"/>
              </w:rPr>
            </w:pPr>
            <w:r>
              <w:rPr>
                <w:spacing w:val="-10"/>
                <w:sz w:val="21"/>
              </w:rPr>
              <w:t>雨水管道：新建雨水管道 </w:t>
            </w:r>
            <w:r>
              <w:rPr>
                <w:rFonts w:ascii="Times New Roman" w:eastAsia="Times New Roman"/>
                <w:spacing w:val="-9"/>
                <w:sz w:val="21"/>
              </w:rPr>
              <w:t>600m</w:t>
            </w:r>
            <w:r>
              <w:rPr>
                <w:spacing w:val="-4"/>
                <w:sz w:val="21"/>
              </w:rPr>
              <w:t>，采用柔性</w:t>
            </w:r>
            <w:r>
              <w:rPr>
                <w:spacing w:val="-3"/>
                <w:sz w:val="21"/>
              </w:rPr>
              <w:t>承插接口钢筋混凝土管材，距道路中线</w:t>
            </w:r>
          </w:p>
          <w:p>
            <w:pPr>
              <w:pStyle w:val="TableParagraph"/>
              <w:spacing w:line="254" w:lineRule="exact"/>
              <w:ind w:left="100"/>
              <w:jc w:val="both"/>
              <w:rPr>
                <w:sz w:val="21"/>
              </w:rPr>
            </w:pPr>
            <w:r>
              <w:rPr>
                <w:rFonts w:ascii="Times New Roman" w:eastAsia="Times New Roman"/>
                <w:spacing w:val="-6"/>
                <w:sz w:val="21"/>
              </w:rPr>
              <w:t>15~20m</w:t>
            </w:r>
            <w:r>
              <w:rPr>
                <w:spacing w:val="-11"/>
                <w:sz w:val="21"/>
              </w:rPr>
              <w:t>，管径 </w:t>
            </w:r>
            <w:r>
              <w:rPr>
                <w:rFonts w:ascii="Times New Roman" w:eastAsia="Times New Roman"/>
                <w:spacing w:val="-7"/>
                <w:sz w:val="21"/>
              </w:rPr>
              <w:t>DN600</w:t>
            </w:r>
            <w:r>
              <w:rPr>
                <w:spacing w:val="-3"/>
                <w:sz w:val="21"/>
              </w:rPr>
              <w:t>，雨水检查井与雨水</w:t>
            </w:r>
          </w:p>
          <w:p>
            <w:pPr>
              <w:pStyle w:val="TableParagraph"/>
              <w:spacing w:line="272" w:lineRule="exact" w:before="19"/>
              <w:ind w:left="100" w:right="184"/>
              <w:jc w:val="left"/>
              <w:rPr>
                <w:sz w:val="21"/>
              </w:rPr>
            </w:pPr>
            <w:r>
              <w:rPr>
                <w:sz w:val="21"/>
              </w:rPr>
              <w:t>检查井采用 </w:t>
            </w:r>
            <w:r>
              <w:rPr>
                <w:rFonts w:ascii="Times New Roman" w:eastAsia="Times New Roman"/>
                <w:sz w:val="21"/>
              </w:rPr>
              <w:t>DN400 </w:t>
            </w:r>
            <w:r>
              <w:rPr>
                <w:sz w:val="21"/>
              </w:rPr>
              <w:t>钢筋混凝土平口管连接。</w:t>
            </w:r>
          </w:p>
          <w:p>
            <w:pPr>
              <w:pStyle w:val="TableParagraph"/>
              <w:spacing w:line="225" w:lineRule="auto" w:before="38"/>
              <w:ind w:left="100" w:right="91"/>
              <w:jc w:val="both"/>
              <w:rPr>
                <w:sz w:val="21"/>
              </w:rPr>
            </w:pPr>
            <w:r>
              <w:rPr>
                <w:spacing w:val="-10"/>
                <w:sz w:val="21"/>
              </w:rPr>
              <w:t>污水管道：新建污水管道 </w:t>
            </w:r>
            <w:r>
              <w:rPr>
                <w:rFonts w:ascii="Times New Roman" w:eastAsia="Times New Roman"/>
                <w:spacing w:val="-9"/>
                <w:sz w:val="21"/>
              </w:rPr>
              <w:t>600m</w:t>
            </w:r>
            <w:r>
              <w:rPr>
                <w:spacing w:val="-4"/>
                <w:sz w:val="21"/>
              </w:rPr>
              <w:t>，采用柔性</w:t>
            </w:r>
            <w:r>
              <w:rPr>
                <w:spacing w:val="-6"/>
                <w:sz w:val="21"/>
              </w:rPr>
              <w:t>承插接口钢筋混凝土管材，管径 </w:t>
            </w:r>
            <w:r>
              <w:rPr>
                <w:rFonts w:ascii="Times New Roman" w:eastAsia="Times New Roman"/>
                <w:sz w:val="21"/>
              </w:rPr>
              <w:t>DN400</w:t>
            </w:r>
            <w:r>
              <w:rPr>
                <w:sz w:val="21"/>
              </w:rPr>
              <w:t>， </w:t>
            </w:r>
            <w:r>
              <w:rPr>
                <w:spacing w:val="-3"/>
                <w:sz w:val="21"/>
              </w:rPr>
              <w:t>道路两侧分别预埋用户支管。</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b/>
                <w:sz w:val="22"/>
              </w:rPr>
            </w:pPr>
          </w:p>
          <w:p>
            <w:pPr>
              <w:pStyle w:val="TableParagraph"/>
              <w:jc w:val="left"/>
              <w:rPr>
                <w:b/>
                <w:sz w:val="22"/>
              </w:rPr>
            </w:pPr>
          </w:p>
          <w:p>
            <w:pPr>
              <w:pStyle w:val="TableParagraph"/>
              <w:jc w:val="left"/>
              <w:rPr>
                <w:b/>
                <w:sz w:val="22"/>
              </w:rPr>
            </w:pPr>
          </w:p>
          <w:p>
            <w:pPr>
              <w:pStyle w:val="TableParagraph"/>
              <w:spacing w:before="166"/>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1"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b/>
                <w:sz w:val="21"/>
              </w:rPr>
            </w:pPr>
          </w:p>
          <w:p>
            <w:pPr>
              <w:pStyle w:val="TableParagraph"/>
              <w:ind w:left="160"/>
              <w:jc w:val="left"/>
              <w:rPr>
                <w:sz w:val="21"/>
              </w:rPr>
            </w:pPr>
            <w:r>
              <w:rPr>
                <w:sz w:val="21"/>
              </w:rPr>
              <w:t>照明工程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25" w:lineRule="auto" w:before="23"/>
              <w:ind w:left="100"/>
              <w:jc w:val="left"/>
              <w:rPr>
                <w:sz w:val="21"/>
              </w:rPr>
            </w:pPr>
            <w:r>
              <w:rPr>
                <w:spacing w:val="-12"/>
                <w:sz w:val="21"/>
              </w:rPr>
              <w:t>道路双侧布置，采用单挑路灯，杆高 </w:t>
            </w:r>
            <w:r>
              <w:rPr>
                <w:rFonts w:ascii="Times New Roman" w:eastAsia="Times New Roman"/>
                <w:sz w:val="21"/>
              </w:rPr>
              <w:t>10m</w:t>
            </w:r>
            <w:r>
              <w:rPr>
                <w:sz w:val="21"/>
              </w:rPr>
              <w:t>， </w:t>
            </w:r>
            <w:r>
              <w:rPr>
                <w:spacing w:val="-17"/>
                <w:sz w:val="21"/>
              </w:rPr>
              <w:t>臂长 </w:t>
            </w:r>
            <w:r>
              <w:rPr>
                <w:rFonts w:ascii="Times New Roman" w:eastAsia="Times New Roman"/>
                <w:spacing w:val="-9"/>
                <w:sz w:val="21"/>
              </w:rPr>
              <w:t>1.5m</w:t>
            </w:r>
            <w:r>
              <w:rPr>
                <w:spacing w:val="-12"/>
                <w:sz w:val="21"/>
              </w:rPr>
              <w:t>，灯杆间距 </w:t>
            </w:r>
            <w:r>
              <w:rPr>
                <w:rFonts w:ascii="Times New Roman" w:eastAsia="Times New Roman"/>
                <w:spacing w:val="-10"/>
                <w:sz w:val="21"/>
              </w:rPr>
              <w:t>25m</w:t>
            </w:r>
            <w:r>
              <w:rPr>
                <w:spacing w:val="-12"/>
                <w:sz w:val="21"/>
              </w:rPr>
              <w:t>，路灯采用 </w:t>
            </w:r>
            <w:r>
              <w:rPr>
                <w:rFonts w:ascii="Times New Roman" w:eastAsia="Times New Roman"/>
                <w:sz w:val="21"/>
              </w:rPr>
              <w:t>LED </w:t>
            </w:r>
            <w:r>
              <w:rPr>
                <w:sz w:val="21"/>
              </w:rPr>
              <w:t>灯具</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
              <w:jc w:val="left"/>
              <w:rPr>
                <w:b/>
                <w:sz w:val="24"/>
              </w:rPr>
            </w:pPr>
          </w:p>
          <w:p>
            <w:pPr>
              <w:pStyle w:val="TableParagraph"/>
              <w:spacing w:before="1"/>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4"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7"/>
              <w:jc w:val="left"/>
              <w:rPr>
                <w:b/>
                <w:sz w:val="21"/>
              </w:rPr>
            </w:pPr>
          </w:p>
          <w:p>
            <w:pPr>
              <w:pStyle w:val="TableParagraph"/>
              <w:ind w:left="160"/>
              <w:jc w:val="left"/>
              <w:rPr>
                <w:sz w:val="21"/>
              </w:rPr>
            </w:pPr>
            <w:r>
              <w:rPr>
                <w:sz w:val="21"/>
              </w:rPr>
              <w:t>绿化工程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7" w:lineRule="auto" w:before="10"/>
              <w:ind w:left="100" w:right="132"/>
              <w:jc w:val="both"/>
              <w:rPr>
                <w:sz w:val="21"/>
              </w:rPr>
            </w:pPr>
            <w:r>
              <w:rPr>
                <w:sz w:val="21"/>
              </w:rPr>
              <w:t>在道路两侧和中央设置防护绿化带，道路两侧种植天竺桂、草皮和花卉，人行道一侧种植行道树。</w:t>
            </w:r>
          </w:p>
        </w:tc>
        <w:tc>
          <w:tcPr>
            <w:tcW w:w="1181" w:type="dxa"/>
            <w:vMerge/>
            <w:tcBorders>
              <w:left w:val="single" w:sz="6" w:space="0" w:color="000000"/>
              <w:bottom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
              <w:jc w:val="left"/>
              <w:rPr>
                <w:b/>
                <w:sz w:val="24"/>
              </w:rPr>
            </w:pPr>
          </w:p>
          <w:p>
            <w:pPr>
              <w:pStyle w:val="TableParagraph"/>
              <w:spacing w:before="1"/>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1748"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5"/>
              <w:jc w:val="left"/>
              <w:rPr>
                <w:b/>
                <w:sz w:val="18"/>
              </w:rPr>
            </w:pPr>
          </w:p>
          <w:p>
            <w:pPr>
              <w:pStyle w:val="TableParagraph"/>
              <w:ind w:left="367" w:right="140" w:hanging="212"/>
              <w:jc w:val="left"/>
              <w:rPr>
                <w:sz w:val="21"/>
              </w:rPr>
            </w:pPr>
            <w:r>
              <w:rPr>
                <w:sz w:val="21"/>
              </w:rPr>
              <w:t>临时工程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spacing w:before="164"/>
              <w:ind w:left="160"/>
              <w:jc w:val="left"/>
              <w:rPr>
                <w:sz w:val="21"/>
              </w:rPr>
            </w:pPr>
            <w:r>
              <w:rPr>
                <w:sz w:val="21"/>
              </w:rPr>
              <w:t>施工场地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18"/>
              <w:ind w:left="100" w:right="132"/>
              <w:jc w:val="both"/>
              <w:rPr>
                <w:sz w:val="21"/>
              </w:rPr>
            </w:pPr>
            <w:r>
              <w:rPr>
                <w:spacing w:val="-3"/>
                <w:sz w:val="21"/>
              </w:rPr>
              <w:t>采用商品混凝土，外购灌装商品沥青混凝</w:t>
            </w:r>
            <w:r>
              <w:rPr>
                <w:spacing w:val="-6"/>
                <w:sz w:val="21"/>
              </w:rPr>
              <w:t>土，现场不设拌合站。本项目设置 </w:t>
            </w:r>
            <w:r>
              <w:rPr>
                <w:rFonts w:ascii="Times New Roman" w:eastAsia="Times New Roman"/>
                <w:sz w:val="21"/>
              </w:rPr>
              <w:t>1 </w:t>
            </w:r>
            <w:r>
              <w:rPr>
                <w:sz w:val="21"/>
              </w:rPr>
              <w:t>个施</w:t>
            </w:r>
            <w:r>
              <w:rPr>
                <w:spacing w:val="-8"/>
                <w:sz w:val="21"/>
              </w:rPr>
              <w:t>工场地。红线北侧 </w:t>
            </w:r>
            <w:r>
              <w:rPr>
                <w:rFonts w:ascii="Times New Roman" w:eastAsia="Times New Roman"/>
                <w:sz w:val="21"/>
              </w:rPr>
              <w:t>50m </w:t>
            </w:r>
            <w:r>
              <w:rPr>
                <w:spacing w:val="-1"/>
                <w:sz w:val="21"/>
              </w:rPr>
              <w:t>处，占地面积</w:t>
            </w:r>
          </w:p>
          <w:p>
            <w:pPr>
              <w:pStyle w:val="TableParagraph"/>
              <w:spacing w:line="230" w:lineRule="auto"/>
              <w:ind w:left="100" w:right="-8"/>
              <w:jc w:val="left"/>
              <w:rPr>
                <w:sz w:val="21"/>
              </w:rPr>
            </w:pPr>
            <w:r>
              <w:rPr>
                <w:rFonts w:ascii="Times New Roman" w:eastAsia="Times New Roman"/>
                <w:sz w:val="21"/>
              </w:rPr>
              <w:t>200m</w:t>
            </w:r>
            <w:r>
              <w:rPr>
                <w:rFonts w:ascii="Times New Roman" w:eastAsia="Times New Roman"/>
                <w:position w:val="10"/>
                <w:sz w:val="14"/>
              </w:rPr>
              <w:t>2</w:t>
            </w:r>
            <w:r>
              <w:rPr>
                <w:sz w:val="21"/>
              </w:rPr>
              <w:t>，包括临时办公、材料仓库和堆场、机械设备临时堆放场等，不另设料场。占地类型为农田。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7"/>
              <w:jc w:val="left"/>
              <w:rPr>
                <w:b/>
                <w:sz w:val="21"/>
              </w:rPr>
            </w:pPr>
          </w:p>
          <w:p>
            <w:pPr>
              <w:pStyle w:val="TableParagraph"/>
              <w:spacing w:line="237" w:lineRule="auto"/>
              <w:ind w:left="102" w:right="24"/>
              <w:rPr>
                <w:sz w:val="21"/>
              </w:rPr>
            </w:pPr>
            <w:r>
              <w:rPr>
                <w:spacing w:val="-2"/>
                <w:sz w:val="21"/>
              </w:rPr>
              <w:t>水土流失、</w:t>
            </w:r>
            <w:r>
              <w:rPr>
                <w:spacing w:val="-3"/>
                <w:sz w:val="21"/>
              </w:rPr>
              <w:t>扬尘、噪 声、固废、废水</w:t>
            </w:r>
          </w:p>
        </w:tc>
        <w:tc>
          <w:tcPr>
            <w:tcW w:w="893" w:type="dxa"/>
            <w:vMerge w:val="restart"/>
            <w:tcBorders>
              <w:top w:val="single" w:sz="6" w:space="0" w:color="000000"/>
              <w:left w:val="single" w:sz="6" w:space="0" w:color="000000"/>
              <w:right w:val="single" w:sz="6" w:space="0" w:color="000000"/>
            </w:tcBorders>
          </w:tcPr>
          <w:p>
            <w:pPr>
              <w:pStyle w:val="TableParagraph"/>
              <w:jc w:val="left"/>
              <w:rPr>
                <w:b/>
                <w:sz w:val="22"/>
              </w:rPr>
            </w:pPr>
          </w:p>
          <w:p>
            <w:pPr>
              <w:pStyle w:val="TableParagraph"/>
              <w:jc w:val="left"/>
              <w:rPr>
                <w:b/>
                <w:sz w:val="22"/>
              </w:rPr>
            </w:pPr>
          </w:p>
          <w:p>
            <w:pPr>
              <w:pStyle w:val="TableParagraph"/>
              <w:jc w:val="left"/>
              <w:rPr>
                <w:b/>
                <w:sz w:val="22"/>
              </w:rPr>
            </w:pPr>
          </w:p>
          <w:p>
            <w:pPr>
              <w:pStyle w:val="TableParagraph"/>
              <w:spacing w:before="11"/>
              <w:jc w:val="left"/>
              <w:rPr>
                <w:b/>
                <w:sz w:val="23"/>
              </w:rPr>
            </w:pPr>
          </w:p>
          <w:p>
            <w:pPr>
              <w:pStyle w:val="TableParagraph"/>
              <w:spacing w:before="1"/>
              <w:ind w:left="1"/>
              <w:rPr>
                <w:rFonts w:ascii="Times New Roman"/>
                <w:sz w:val="21"/>
              </w:rPr>
            </w:pPr>
            <w:r>
              <w:rPr>
                <w:rFonts w:ascii="Times New Roman"/>
                <w:w w:val="100"/>
                <w:sz w:val="21"/>
              </w:rPr>
              <w:t>/</w:t>
            </w:r>
          </w:p>
        </w:tc>
        <w:tc>
          <w:tcPr>
            <w:tcW w:w="142" w:type="dxa"/>
            <w:vMerge w:val="restart"/>
            <w:tcBorders>
              <w:top w:val="nil"/>
              <w:left w:val="single" w:sz="6" w:space="0" w:color="000000"/>
            </w:tcBorders>
          </w:tcPr>
          <w:p>
            <w:pPr/>
          </w:p>
        </w:tc>
      </w:tr>
      <w:tr>
        <w:trPr>
          <w:trHeight w:val="49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66"/>
              <w:ind w:left="160"/>
              <w:jc w:val="left"/>
              <w:rPr>
                <w:sz w:val="21"/>
              </w:rPr>
            </w:pPr>
            <w:r>
              <w:rPr>
                <w:sz w:val="21"/>
              </w:rPr>
              <w:t>施工营地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66"/>
              <w:ind w:left="100"/>
              <w:jc w:val="left"/>
              <w:rPr>
                <w:sz w:val="21"/>
              </w:rPr>
            </w:pPr>
            <w:r>
              <w:rPr>
                <w:sz w:val="21"/>
              </w:rPr>
              <w:t>租赁附近民房，不建施工营地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08"/>
              <w:ind w:right="21"/>
              <w:rPr>
                <w:rFonts w:ascii="Times New Roman"/>
                <w:sz w:val="21"/>
              </w:rPr>
            </w:pPr>
            <w:r>
              <w:rPr>
                <w:rFonts w:ascii="Times New Roman"/>
                <w:w w:val="100"/>
                <w:sz w:val="21"/>
              </w:rPr>
              <w:t>/</w:t>
            </w:r>
          </w:p>
        </w:tc>
        <w:tc>
          <w:tcPr>
            <w:tcW w:w="893" w:type="dxa"/>
            <w:vMerge/>
            <w:tcBorders>
              <w:left w:val="single" w:sz="6" w:space="0" w:color="000000"/>
              <w:right w:val="single" w:sz="6" w:space="0" w:color="000000"/>
            </w:tcBorders>
          </w:tcPr>
          <w:p>
            <w:pPr/>
          </w:p>
        </w:tc>
        <w:tc>
          <w:tcPr>
            <w:tcW w:w="142" w:type="dxa"/>
            <w:vMerge/>
            <w:tcBorders>
              <w:left w:val="single" w:sz="6" w:space="0" w:color="000000"/>
            </w:tcBorders>
          </w:tcPr>
          <w:p>
            <w:pPr/>
          </w:p>
        </w:tc>
      </w:tr>
      <w:tr>
        <w:trPr>
          <w:trHeight w:val="394"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0"/>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10"/>
              <w:ind w:left="1063"/>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55"/>
              <w:ind w:right="21"/>
              <w:rPr>
                <w:rFonts w:ascii="Times New Roman"/>
                <w:sz w:val="21"/>
              </w:rPr>
            </w:pPr>
            <w:r>
              <w:rPr>
                <w:rFonts w:ascii="Times New Roman"/>
                <w:w w:val="100"/>
                <w:sz w:val="21"/>
              </w:rPr>
              <w:t>/</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4"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2"/>
              <w:jc w:val="left"/>
              <w:rPr>
                <w:b/>
                <w:sz w:val="27"/>
              </w:rPr>
            </w:pPr>
          </w:p>
          <w:p>
            <w:pPr>
              <w:pStyle w:val="TableParagraph"/>
              <w:ind w:left="160"/>
              <w:jc w:val="left"/>
              <w:rPr>
                <w:sz w:val="21"/>
              </w:rPr>
            </w:pPr>
            <w:r>
              <w:rPr>
                <w:sz w:val="21"/>
              </w:rPr>
              <w:t>临时堆场</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115" w:right="7"/>
              <w:rPr>
                <w:sz w:val="21"/>
              </w:rPr>
            </w:pPr>
            <w:r>
              <w:rPr>
                <w:spacing w:val="-15"/>
                <w:sz w:val="21"/>
              </w:rPr>
              <w:t>设置一个临时堆场，位于红线北侧 </w:t>
            </w:r>
            <w:r>
              <w:rPr>
                <w:rFonts w:ascii="Times New Roman" w:eastAsia="Times New Roman"/>
                <w:sz w:val="21"/>
              </w:rPr>
              <w:t>50m</w:t>
            </w:r>
            <w:r>
              <w:rPr>
                <w:rFonts w:ascii="Times New Roman" w:eastAsia="Times New Roman"/>
                <w:spacing w:val="-3"/>
                <w:sz w:val="21"/>
              </w:rPr>
              <w:t> </w:t>
            </w:r>
            <w:r>
              <w:rPr>
                <w:sz w:val="21"/>
              </w:rPr>
              <w:t>处，</w:t>
            </w:r>
          </w:p>
          <w:p>
            <w:pPr>
              <w:pStyle w:val="TableParagraph"/>
              <w:spacing w:line="230" w:lineRule="auto"/>
              <w:ind w:left="100" w:right="-10" w:hanging="109"/>
              <w:rPr>
                <w:sz w:val="21"/>
              </w:rPr>
            </w:pPr>
            <w:r>
              <w:rPr>
                <w:spacing w:val="-11"/>
                <w:sz w:val="21"/>
              </w:rPr>
              <w:t>占地面积 </w:t>
            </w:r>
            <w:r>
              <w:rPr>
                <w:rFonts w:ascii="Times New Roman" w:eastAsia="Times New Roman"/>
                <w:sz w:val="21"/>
              </w:rPr>
              <w:t>200m</w:t>
            </w:r>
            <w:r>
              <w:rPr>
                <w:rFonts w:ascii="Times New Roman" w:eastAsia="Times New Roman"/>
                <w:position w:val="10"/>
                <w:sz w:val="14"/>
              </w:rPr>
              <w:t>2</w:t>
            </w:r>
            <w:r>
              <w:rPr>
                <w:spacing w:val="-3"/>
                <w:sz w:val="21"/>
              </w:rPr>
              <w:t>，用于施工期土石方的临 </w:t>
            </w:r>
            <w:r>
              <w:rPr>
                <w:spacing w:val="-11"/>
                <w:sz w:val="21"/>
              </w:rPr>
              <w:t>时堆存。占地类型为农田。本项目不设取、弃土场</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6"/>
              <w:jc w:val="left"/>
              <w:rPr>
                <w:b/>
                <w:sz w:val="17"/>
              </w:rPr>
            </w:pPr>
          </w:p>
          <w:p>
            <w:pPr>
              <w:pStyle w:val="TableParagraph"/>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b/>
                <w:sz w:val="31"/>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355"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5"/>
              <w:ind w:left="367" w:right="140" w:hanging="212"/>
              <w:jc w:val="left"/>
              <w:rPr>
                <w:sz w:val="21"/>
              </w:rPr>
            </w:pPr>
            <w:r>
              <w:rPr>
                <w:sz w:val="21"/>
              </w:rPr>
              <w:t>公用工程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66" w:lineRule="exact"/>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66" w:lineRule="exact"/>
              <w:ind w:left="1168"/>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36"/>
              <w:rPr>
                <w:rFonts w:ascii="Times New Roman"/>
                <w:sz w:val="21"/>
              </w:rPr>
            </w:pPr>
            <w:r>
              <w:rPr>
                <w:rFonts w:ascii="Times New Roman"/>
                <w:w w:val="100"/>
                <w:sz w:val="21"/>
              </w:rPr>
              <w:t>/</w:t>
            </w:r>
          </w:p>
        </w:tc>
        <w:tc>
          <w:tcPr>
            <w:tcW w:w="893" w:type="dxa"/>
            <w:vMerge w:val="restart"/>
            <w:tcBorders>
              <w:top w:val="single" w:sz="6" w:space="0" w:color="000000"/>
              <w:left w:val="single" w:sz="6" w:space="0" w:color="000000"/>
              <w:right w:val="single" w:sz="6" w:space="0" w:color="000000"/>
            </w:tcBorders>
          </w:tcPr>
          <w:p>
            <w:pPr>
              <w:pStyle w:val="TableParagraph"/>
              <w:spacing w:before="2"/>
              <w:jc w:val="left"/>
              <w:rPr>
                <w:b/>
                <w:sz w:val="24"/>
              </w:rPr>
            </w:pPr>
          </w:p>
          <w:p>
            <w:pPr>
              <w:pStyle w:val="TableParagraph"/>
              <w:ind w:left="209" w:right="104"/>
              <w:rPr>
                <w:sz w:val="21"/>
              </w:rPr>
            </w:pPr>
            <w:r>
              <w:rPr>
                <w:rFonts w:ascii="Times New Roman"/>
                <w:sz w:val="21"/>
              </w:rPr>
              <w:t>/</w:t>
            </w:r>
            <w:r>
              <w:rPr>
                <w:sz w:val="21"/>
              </w:rPr>
              <w:t> </w:t>
            </w:r>
          </w:p>
        </w:tc>
        <w:tc>
          <w:tcPr>
            <w:tcW w:w="142" w:type="dxa"/>
            <w:vMerge w:val="restart"/>
            <w:tcBorders>
              <w:top w:val="nil"/>
              <w:left w:val="single" w:sz="6" w:space="0" w:color="000000"/>
            </w:tcBorders>
          </w:tcPr>
          <w:p>
            <w:pPr/>
          </w:p>
        </w:tc>
      </w:tr>
      <w:tr>
        <w:trPr>
          <w:trHeight w:val="574" w:hRule="exact"/>
        </w:trPr>
        <w:tc>
          <w:tcPr>
            <w:tcW w:w="142" w:type="dxa"/>
            <w:vMerge/>
            <w:tcBorders>
              <w:right w:val="single" w:sz="6" w:space="0" w:color="000000"/>
            </w:tcBorders>
          </w:tcPr>
          <w:p>
            <w:pPr/>
          </w:p>
        </w:tc>
        <w:tc>
          <w:tcPr>
            <w:tcW w:w="960" w:type="dxa"/>
            <w:vMerge/>
            <w:tcBorders>
              <w:left w:val="single" w:sz="6" w:space="0" w:color="000000"/>
              <w:bottom w:val="single" w:sz="10" w:space="0" w:color="000000"/>
              <w:right w:val="single" w:sz="6" w:space="0" w:color="000000"/>
            </w:tcBorders>
          </w:tcPr>
          <w:p>
            <w:pPr/>
          </w:p>
        </w:tc>
        <w:tc>
          <w:tcPr>
            <w:tcW w:w="1177" w:type="dxa"/>
            <w:tcBorders>
              <w:top w:val="single" w:sz="6" w:space="0" w:color="000000"/>
              <w:left w:val="single" w:sz="6" w:space="0" w:color="000000"/>
              <w:bottom w:val="single" w:sz="10" w:space="0" w:color="000000"/>
              <w:right w:val="single" w:sz="6" w:space="0" w:color="000000"/>
            </w:tcBorders>
          </w:tcPr>
          <w:p>
            <w:pPr>
              <w:pStyle w:val="TableParagraph"/>
              <w:spacing w:before="94"/>
              <w:ind w:left="160"/>
              <w:jc w:val="left"/>
              <w:rPr>
                <w:sz w:val="21"/>
              </w:rPr>
            </w:pPr>
            <w:r>
              <w:rPr>
                <w:sz w:val="21"/>
              </w:rPr>
              <w:t>供水工程</w:t>
            </w:r>
          </w:p>
        </w:tc>
        <w:tc>
          <w:tcPr>
            <w:tcW w:w="4035" w:type="dxa"/>
            <w:tcBorders>
              <w:top w:val="single" w:sz="6" w:space="0" w:color="000000"/>
              <w:left w:val="single" w:sz="6" w:space="0" w:color="000000"/>
              <w:bottom w:val="single" w:sz="10" w:space="0" w:color="000000"/>
              <w:right w:val="single" w:sz="6" w:space="0" w:color="000000"/>
            </w:tcBorders>
          </w:tcPr>
          <w:p>
            <w:pPr>
              <w:pStyle w:val="TableParagraph"/>
              <w:spacing w:line="233" w:lineRule="exact"/>
              <w:ind w:left="7" w:right="7"/>
              <w:rPr>
                <w:sz w:val="21"/>
              </w:rPr>
            </w:pPr>
            <w:r>
              <w:rPr>
                <w:sz w:val="21"/>
              </w:rPr>
              <w:t>施工生活用水依托周边已有设施，施工用</w:t>
            </w:r>
          </w:p>
          <w:p>
            <w:pPr>
              <w:pStyle w:val="TableParagraph"/>
              <w:spacing w:line="273" w:lineRule="exact"/>
              <w:ind w:left="7" w:right="7"/>
              <w:rPr>
                <w:sz w:val="21"/>
              </w:rPr>
            </w:pPr>
            <w:r>
              <w:rPr>
                <w:sz w:val="21"/>
              </w:rPr>
              <w:t>水可利用河水或自备水车运输</w:t>
            </w:r>
          </w:p>
        </w:tc>
        <w:tc>
          <w:tcPr>
            <w:tcW w:w="1181" w:type="dxa"/>
            <w:tcBorders>
              <w:top w:val="single" w:sz="6" w:space="0" w:color="000000"/>
              <w:left w:val="single" w:sz="6" w:space="0" w:color="000000"/>
              <w:bottom w:val="single" w:sz="10" w:space="0" w:color="000000"/>
              <w:right w:val="single" w:sz="6" w:space="0" w:color="000000"/>
            </w:tcBorders>
          </w:tcPr>
          <w:p>
            <w:pPr>
              <w:pStyle w:val="TableParagraph"/>
              <w:spacing w:before="139"/>
              <w:ind w:left="586" w:right="481"/>
              <w:rPr>
                <w:sz w:val="21"/>
              </w:rPr>
            </w:pPr>
            <w:r>
              <w:rPr>
                <w:rFonts w:ascii="Times New Roman"/>
                <w:sz w:val="21"/>
              </w:rPr>
              <w:t>/</w:t>
            </w:r>
            <w:r>
              <w:rPr>
                <w:sz w:val="21"/>
              </w:rPr>
              <w:t> </w:t>
            </w:r>
          </w:p>
        </w:tc>
        <w:tc>
          <w:tcPr>
            <w:tcW w:w="893" w:type="dxa"/>
            <w:vMerge/>
            <w:tcBorders>
              <w:left w:val="single" w:sz="6" w:space="0" w:color="000000"/>
              <w:bottom w:val="single" w:sz="10" w:space="0" w:color="000000"/>
              <w:right w:val="single" w:sz="6" w:space="0" w:color="000000"/>
            </w:tcBorders>
          </w:tcPr>
          <w:p>
            <w:pPr/>
          </w:p>
        </w:tc>
        <w:tc>
          <w:tcPr>
            <w:tcW w:w="142" w:type="dxa"/>
            <w:vMerge/>
            <w:tcBorders>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1116" w:hRule="exact"/>
        </w:trPr>
        <w:tc>
          <w:tcPr>
            <w:tcW w:w="142" w:type="dxa"/>
            <w:vMerge w:val="restart"/>
            <w:tcBorders>
              <w:right w:val="single" w:sz="6" w:space="0" w:color="000000"/>
            </w:tcBorders>
          </w:tcPr>
          <w:p>
            <w:pPr/>
          </w:p>
        </w:tc>
        <w:tc>
          <w:tcPr>
            <w:tcW w:w="960" w:type="dxa"/>
            <w:vMerge w:val="restart"/>
            <w:tcBorders>
              <w:top w:val="single" w:sz="10"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9"/>
              <w:jc w:val="left"/>
              <w:rPr>
                <w:b/>
                <w:sz w:val="23"/>
              </w:rPr>
            </w:pPr>
          </w:p>
          <w:p>
            <w:pPr>
              <w:pStyle w:val="TableParagraph"/>
              <w:ind w:left="367" w:right="140" w:hanging="212"/>
              <w:jc w:val="left"/>
              <w:rPr>
                <w:sz w:val="21"/>
              </w:rPr>
            </w:pPr>
            <w:r>
              <w:rPr>
                <w:sz w:val="21"/>
              </w:rPr>
              <w:t>环保工程</w:t>
            </w:r>
          </w:p>
        </w:tc>
        <w:tc>
          <w:tcPr>
            <w:tcW w:w="1177" w:type="dxa"/>
            <w:tcBorders>
              <w:top w:val="single" w:sz="10" w:space="0" w:color="000000"/>
              <w:left w:val="single" w:sz="6" w:space="0" w:color="000000"/>
              <w:bottom w:val="single" w:sz="6" w:space="0" w:color="000000"/>
              <w:right w:val="single" w:sz="6" w:space="0" w:color="000000"/>
            </w:tcBorders>
          </w:tcPr>
          <w:p>
            <w:pPr>
              <w:pStyle w:val="TableParagraph"/>
              <w:spacing w:before="5"/>
              <w:jc w:val="left"/>
              <w:rPr>
                <w:b/>
                <w:sz w:val="20"/>
              </w:rPr>
            </w:pPr>
          </w:p>
          <w:p>
            <w:pPr>
              <w:pStyle w:val="TableParagraph"/>
              <w:spacing w:line="272" w:lineRule="exact"/>
              <w:ind w:left="369" w:right="142" w:hanging="209"/>
              <w:jc w:val="left"/>
              <w:rPr>
                <w:sz w:val="21"/>
              </w:rPr>
            </w:pPr>
            <w:r>
              <w:rPr>
                <w:sz w:val="21"/>
              </w:rPr>
              <w:t>废水治理措施</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ind w:left="7" w:right="7"/>
              <w:rPr>
                <w:sz w:val="21"/>
              </w:rPr>
            </w:pPr>
            <w:r>
              <w:rPr>
                <w:sz w:val="21"/>
              </w:rPr>
              <w:t>施工人员生活污水依托周边已有设施，汇</w:t>
            </w:r>
          </w:p>
          <w:p>
            <w:pPr>
              <w:pStyle w:val="TableParagraph"/>
              <w:spacing w:line="273" w:lineRule="exact"/>
              <w:ind w:left="7" w:right="7"/>
              <w:rPr>
                <w:sz w:val="21"/>
              </w:rPr>
            </w:pPr>
            <w:r>
              <w:rPr>
                <w:sz w:val="21"/>
              </w:rPr>
              <w:t>入污水管网，进入污水处理厂；</w:t>
            </w:r>
          </w:p>
          <w:p>
            <w:pPr>
              <w:pStyle w:val="TableParagraph"/>
              <w:spacing w:line="280" w:lineRule="exact"/>
              <w:ind w:left="7" w:right="7"/>
              <w:rPr>
                <w:rFonts w:ascii="Times New Roman" w:eastAsia="Times New Roman"/>
                <w:sz w:val="21"/>
              </w:rPr>
            </w:pPr>
            <w:r>
              <w:rPr>
                <w:sz w:val="21"/>
              </w:rPr>
              <w:t>在施工出入口处设置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82" w:lineRule="exact"/>
              <w:ind w:left="9" w:right="7"/>
              <w:rPr>
                <w:sz w:val="21"/>
              </w:rPr>
            </w:pP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w w:val="100"/>
                <w:sz w:val="21"/>
              </w:rPr>
              <w:t>（</w:t>
            </w:r>
            <w:r>
              <w:rPr>
                <w:rFonts w:ascii="Times New Roman" w:hAnsi="Times New Roman" w:eastAsia="Times New Roman"/>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181" w:type="dxa"/>
            <w:tcBorders>
              <w:top w:val="single" w:sz="10" w:space="0" w:color="000000"/>
              <w:left w:val="single" w:sz="6" w:space="0" w:color="000000"/>
              <w:bottom w:val="single" w:sz="6" w:space="0" w:color="000000"/>
              <w:right w:val="single" w:sz="6" w:space="0" w:color="000000"/>
            </w:tcBorders>
          </w:tcPr>
          <w:p>
            <w:pPr>
              <w:pStyle w:val="TableParagraph"/>
              <w:spacing w:before="12"/>
              <w:jc w:val="left"/>
              <w:rPr>
                <w:b/>
                <w:sz w:val="31"/>
              </w:rPr>
            </w:pPr>
          </w:p>
          <w:p>
            <w:pPr>
              <w:pStyle w:val="TableParagraph"/>
              <w:ind w:right="21"/>
              <w:rPr>
                <w:rFonts w:ascii="Times New Roman"/>
                <w:sz w:val="21"/>
              </w:rPr>
            </w:pPr>
            <w:r>
              <w:rPr>
                <w:rFonts w:ascii="Times New Roman"/>
                <w:w w:val="100"/>
                <w:sz w:val="21"/>
              </w:rPr>
              <w:t>/</w:t>
            </w:r>
          </w:p>
        </w:tc>
        <w:tc>
          <w:tcPr>
            <w:tcW w:w="893" w:type="dxa"/>
            <w:tcBorders>
              <w:top w:val="single" w:sz="10" w:space="0" w:color="000000"/>
              <w:left w:val="single" w:sz="6" w:space="0" w:color="000000"/>
              <w:bottom w:val="single" w:sz="6" w:space="0" w:color="000000"/>
              <w:right w:val="single" w:sz="6" w:space="0" w:color="000000"/>
            </w:tcBorders>
          </w:tcPr>
          <w:p>
            <w:pPr>
              <w:pStyle w:val="TableParagraph"/>
              <w:spacing w:line="237" w:lineRule="auto" w:before="104"/>
              <w:ind w:left="104" w:right="102"/>
              <w:rPr>
                <w:sz w:val="21"/>
              </w:rPr>
            </w:pPr>
            <w:r>
              <w:rPr>
                <w:sz w:val="21"/>
              </w:rPr>
              <w:t>生活污水、污泥</w:t>
            </w:r>
          </w:p>
        </w:tc>
        <w:tc>
          <w:tcPr>
            <w:tcW w:w="142" w:type="dxa"/>
            <w:tcBorders>
              <w:left w:val="single" w:sz="6" w:space="0" w:color="000000"/>
              <w:bottom w:val="nil"/>
            </w:tcBorders>
          </w:tcPr>
          <w:p>
            <w:pPr/>
          </w:p>
        </w:tc>
      </w:tr>
      <w:tr>
        <w:trPr>
          <w:trHeight w:val="562"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生活垃圾</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94"/>
              <w:ind w:left="1168"/>
              <w:jc w:val="left"/>
              <w:rPr>
                <w:sz w:val="21"/>
              </w:rPr>
            </w:pPr>
            <w:r>
              <w:rPr>
                <w:sz w:val="21"/>
              </w:rPr>
              <w:t>依托周边已有设施</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04" w:right="104"/>
              <w:rPr>
                <w:sz w:val="21"/>
              </w:rPr>
            </w:pPr>
            <w:r>
              <w:rPr>
                <w:sz w:val="21"/>
              </w:rPr>
              <w:t>生活垃</w:t>
            </w:r>
          </w:p>
          <w:p>
            <w:pPr>
              <w:pStyle w:val="TableParagraph"/>
              <w:spacing w:line="273" w:lineRule="exact"/>
              <w:rPr>
                <w:sz w:val="21"/>
              </w:rPr>
            </w:pPr>
            <w:r>
              <w:rPr>
                <w:w w:val="100"/>
                <w:sz w:val="21"/>
              </w:rPr>
              <w:t>圾</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1" w:right="140"/>
              <w:rPr>
                <w:sz w:val="21"/>
              </w:rPr>
            </w:pPr>
            <w:r>
              <w:rPr>
                <w:sz w:val="21"/>
              </w:rPr>
              <w:t>废气治理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7" w:right="7"/>
              <w:rPr>
                <w:sz w:val="21"/>
              </w:rPr>
            </w:pPr>
            <w:r>
              <w:rPr>
                <w:sz w:val="21"/>
              </w:rPr>
              <w:t>施工运输材料车辆加篷布覆盖，施工场地</w:t>
            </w:r>
          </w:p>
          <w:p>
            <w:pPr>
              <w:pStyle w:val="TableParagraph"/>
              <w:spacing w:line="273" w:lineRule="exact"/>
              <w:ind w:left="7" w:right="7"/>
              <w:rPr>
                <w:sz w:val="21"/>
              </w:rPr>
            </w:pPr>
            <w:r>
              <w:rPr>
                <w:sz w:val="21"/>
              </w:rPr>
              <w:t>洒水降尘</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扬尘</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1" w:right="140"/>
              <w:rPr>
                <w:sz w:val="21"/>
              </w:rPr>
            </w:pPr>
            <w:r>
              <w:rPr>
                <w:sz w:val="21"/>
              </w:rPr>
              <w:t>固废治理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7" w:right="7"/>
              <w:rPr>
                <w:sz w:val="21"/>
              </w:rPr>
            </w:pPr>
            <w:r>
              <w:rPr>
                <w:sz w:val="21"/>
              </w:rPr>
              <w:t>对临时堆场进行临时拦挡、临时遮盖，及</w:t>
            </w:r>
          </w:p>
          <w:p>
            <w:pPr>
              <w:pStyle w:val="TableParagraph"/>
              <w:spacing w:line="273" w:lineRule="exact"/>
              <w:ind w:left="9" w:right="7"/>
              <w:rPr>
                <w:sz w:val="21"/>
              </w:rPr>
            </w:pPr>
            <w:r>
              <w:rPr>
                <w:sz w:val="21"/>
              </w:rPr>
              <w:t>时清运</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弃土</w:t>
            </w:r>
          </w:p>
        </w:tc>
        <w:tc>
          <w:tcPr>
            <w:tcW w:w="142" w:type="dxa"/>
            <w:tcBorders>
              <w:top w:val="nil"/>
              <w:left w:val="single" w:sz="6" w:space="0" w:color="000000"/>
              <w:bottom w:val="nil"/>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噪声治理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15" w:right="5"/>
              <w:rPr>
                <w:sz w:val="21"/>
              </w:rPr>
            </w:pPr>
            <w:r>
              <w:rPr>
                <w:spacing w:val="-10"/>
                <w:sz w:val="21"/>
              </w:rPr>
              <w:t>选用低噪声设备，合理进行施工平面布置，</w:t>
            </w:r>
          </w:p>
          <w:p>
            <w:pPr>
              <w:pStyle w:val="TableParagraph"/>
              <w:spacing w:line="274" w:lineRule="exact"/>
              <w:ind w:left="110" w:right="7"/>
              <w:rPr>
                <w:sz w:val="21"/>
              </w:rPr>
            </w:pPr>
            <w:r>
              <w:rPr>
                <w:sz w:val="21"/>
              </w:rPr>
              <w:t>合理安排施工时间，修建围挡等 </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噪声</w:t>
            </w:r>
          </w:p>
        </w:tc>
        <w:tc>
          <w:tcPr>
            <w:tcW w:w="142" w:type="dxa"/>
            <w:tcBorders>
              <w:top w:val="nil"/>
              <w:left w:val="single" w:sz="6" w:space="0" w:color="000000"/>
              <w:bottom w:val="nil"/>
            </w:tcBorders>
          </w:tcPr>
          <w:p>
            <w:pPr/>
          </w:p>
        </w:tc>
      </w:tr>
      <w:tr>
        <w:trPr>
          <w:trHeight w:val="10598" w:hRule="exact"/>
        </w:trPr>
        <w:tc>
          <w:tcPr>
            <w:tcW w:w="8529" w:type="dxa"/>
            <w:gridSpan w:val="7"/>
            <w:tcBorders>
              <w:top w:val="single" w:sz="6" w:space="0" w:color="000000"/>
            </w:tcBorders>
          </w:tcPr>
          <w:p>
            <w:pPr>
              <w:pStyle w:val="TableParagraph"/>
              <w:spacing w:before="228"/>
              <w:ind w:left="583"/>
              <w:jc w:val="left"/>
              <w:rPr>
                <w:sz w:val="24"/>
              </w:rPr>
            </w:pPr>
            <w:r>
              <w:rPr>
                <w:sz w:val="24"/>
              </w:rPr>
              <w:t>本项目主要工程技术指标见表 </w:t>
            </w:r>
            <w:r>
              <w:rPr>
                <w:rFonts w:ascii="Times New Roman" w:eastAsia="Times New Roman"/>
                <w:sz w:val="24"/>
              </w:rPr>
              <w:t>1-3</w:t>
            </w:r>
            <w:r>
              <w:rPr>
                <w:sz w:val="24"/>
              </w:rPr>
              <w:t>。</w:t>
            </w:r>
          </w:p>
          <w:p>
            <w:pPr>
              <w:pStyle w:val="TableParagraph"/>
              <w:tabs>
                <w:tab w:pos="3482" w:val="left" w:leader="none"/>
              </w:tabs>
              <w:spacing w:before="135"/>
              <w:ind w:left="2621"/>
              <w:jc w:val="left"/>
              <w:rPr>
                <w:b/>
                <w:sz w:val="24"/>
              </w:rPr>
            </w:pPr>
            <w:r>
              <w:rPr>
                <w:b/>
                <w:sz w:val="24"/>
              </w:rPr>
              <w:t>表</w:t>
            </w:r>
            <w:r>
              <w:rPr>
                <w:b/>
                <w:spacing w:val="-60"/>
                <w:sz w:val="24"/>
              </w:rPr>
              <w:t> </w:t>
            </w:r>
            <w:r>
              <w:rPr>
                <w:rFonts w:ascii="Times New Roman" w:eastAsia="Times New Roman"/>
                <w:b/>
                <w:sz w:val="24"/>
              </w:rPr>
              <w:t>1-3</w:t>
              <w:tab/>
            </w:r>
            <w:r>
              <w:rPr>
                <w:b/>
                <w:sz w:val="24"/>
              </w:rPr>
              <w:t>本项目道路技术标准表</w:t>
            </w:r>
          </w:p>
          <w:p>
            <w:pPr>
              <w:pStyle w:val="TableParagraph"/>
              <w:tabs>
                <w:tab w:pos="1534" w:val="left" w:leader="none"/>
                <w:tab w:pos="3046" w:val="left" w:leader="none"/>
                <w:tab w:pos="5280" w:val="left" w:leader="none"/>
              </w:tabs>
              <w:spacing w:before="151"/>
              <w:ind w:right="1273"/>
              <w:rPr>
                <w:sz w:val="21"/>
              </w:rPr>
            </w:pPr>
            <w:r>
              <w:rPr>
                <w:sz w:val="21"/>
              </w:rPr>
              <w:t>序号</w:t>
              <w:tab/>
              <w:t>项目</w:t>
              <w:tab/>
              <w:t>单位</w:t>
              <w:tab/>
              <w:t>标准</w:t>
            </w:r>
          </w:p>
          <w:p>
            <w:pPr>
              <w:pStyle w:val="TableParagraph"/>
              <w:numPr>
                <w:ilvl w:val="0"/>
                <w:numId w:val="2"/>
              </w:numPr>
              <w:tabs>
                <w:tab w:pos="2095" w:val="left" w:leader="none"/>
                <w:tab w:pos="2096" w:val="left" w:leader="none"/>
                <w:tab w:pos="3919" w:val="left" w:leader="none"/>
                <w:tab w:pos="5734" w:val="left" w:leader="none"/>
              </w:tabs>
              <w:spacing w:line="240" w:lineRule="auto" w:before="6" w:after="0"/>
              <w:ind w:left="2095" w:right="0" w:hanging="1167"/>
              <w:jc w:val="left"/>
              <w:rPr>
                <w:sz w:val="21"/>
              </w:rPr>
            </w:pPr>
            <w:r>
              <w:rPr>
                <w:sz w:val="21"/>
              </w:rPr>
              <w:t>道路</w:t>
            </w:r>
            <w:r>
              <w:rPr>
                <w:spacing w:val="-3"/>
                <w:sz w:val="21"/>
              </w:rPr>
              <w:t>等</w:t>
            </w:r>
            <w:r>
              <w:rPr>
                <w:sz w:val="21"/>
              </w:rPr>
              <w:t>级</w:t>
              <w:tab/>
              <w:t>级</w:t>
              <w:tab/>
              <w:t>城市</w:t>
            </w:r>
            <w:r>
              <w:rPr>
                <w:spacing w:val="-3"/>
                <w:sz w:val="21"/>
              </w:rPr>
              <w:t>次</w:t>
            </w:r>
            <w:r>
              <w:rPr>
                <w:sz w:val="21"/>
              </w:rPr>
              <w:t>干路</w:t>
            </w:r>
          </w:p>
          <w:p>
            <w:pPr>
              <w:pStyle w:val="TableParagraph"/>
              <w:numPr>
                <w:ilvl w:val="0"/>
                <w:numId w:val="2"/>
              </w:numPr>
              <w:tabs>
                <w:tab w:pos="2095" w:val="left" w:leader="none"/>
                <w:tab w:pos="2096" w:val="left" w:leader="none"/>
                <w:tab w:pos="3809" w:val="left" w:leader="none"/>
                <w:tab w:pos="6154" w:val="left" w:leader="none"/>
              </w:tabs>
              <w:spacing w:line="240" w:lineRule="auto" w:before="7" w:after="0"/>
              <w:ind w:left="2095" w:right="0" w:hanging="1167"/>
              <w:jc w:val="left"/>
              <w:rPr>
                <w:rFonts w:ascii="Times New Roman" w:eastAsia="Times New Roman"/>
                <w:sz w:val="21"/>
              </w:rPr>
            </w:pPr>
            <w:r>
              <w:rPr>
                <w:position w:val="-1"/>
                <w:sz w:val="21"/>
              </w:rPr>
              <w:t>设计</w:t>
            </w:r>
            <w:r>
              <w:rPr>
                <w:spacing w:val="-3"/>
                <w:position w:val="-1"/>
                <w:sz w:val="21"/>
              </w:rPr>
              <w:t>速</w:t>
            </w:r>
            <w:r>
              <w:rPr>
                <w:position w:val="-1"/>
                <w:sz w:val="21"/>
              </w:rPr>
              <w:t>度</w:t>
              <w:tab/>
            </w:r>
            <w:r>
              <w:rPr>
                <w:rFonts w:ascii="Times New Roman" w:eastAsia="Times New Roman"/>
                <w:sz w:val="21"/>
              </w:rPr>
              <w:t>km/h</w:t>
              <w:tab/>
              <w:t>20</w:t>
            </w:r>
          </w:p>
          <w:p>
            <w:pPr>
              <w:pStyle w:val="TableParagraph"/>
              <w:numPr>
                <w:ilvl w:val="0"/>
                <w:numId w:val="2"/>
              </w:numPr>
              <w:tabs>
                <w:tab w:pos="2095" w:val="left" w:leader="none"/>
                <w:tab w:pos="2096" w:val="left" w:leader="none"/>
                <w:tab w:pos="3943" w:val="left" w:leader="none"/>
                <w:tab w:pos="6104" w:val="left" w:leader="none"/>
              </w:tabs>
              <w:spacing w:line="240" w:lineRule="auto" w:before="8" w:after="0"/>
              <w:ind w:left="2095" w:right="0" w:hanging="1167"/>
              <w:jc w:val="left"/>
              <w:rPr>
                <w:rFonts w:ascii="Times New Roman" w:eastAsia="Times New Roman"/>
                <w:sz w:val="21"/>
              </w:rPr>
            </w:pPr>
            <w:r>
              <w:rPr>
                <w:position w:val="-1"/>
                <w:sz w:val="21"/>
              </w:rPr>
              <w:t>路线</w:t>
            </w:r>
            <w:r>
              <w:rPr>
                <w:spacing w:val="-3"/>
                <w:position w:val="-1"/>
                <w:sz w:val="21"/>
              </w:rPr>
              <w:t>长</w:t>
            </w:r>
            <w:r>
              <w:rPr>
                <w:position w:val="-1"/>
                <w:sz w:val="21"/>
              </w:rPr>
              <w:t>度</w:t>
              <w:tab/>
            </w:r>
            <w:r>
              <w:rPr>
                <w:rFonts w:ascii="Times New Roman" w:eastAsia="Times New Roman"/>
                <w:sz w:val="21"/>
              </w:rPr>
              <w:t>m</w:t>
              <w:tab/>
              <w:t>363</w:t>
            </w:r>
          </w:p>
          <w:p>
            <w:pPr>
              <w:pStyle w:val="TableParagraph"/>
              <w:numPr>
                <w:ilvl w:val="0"/>
                <w:numId w:val="2"/>
              </w:numPr>
              <w:tabs>
                <w:tab w:pos="2095" w:val="left" w:leader="none"/>
                <w:tab w:pos="2096" w:val="left" w:leader="none"/>
                <w:tab w:pos="3943" w:val="left" w:leader="none"/>
                <w:tab w:pos="6154" w:val="left" w:leader="none"/>
              </w:tabs>
              <w:spacing w:line="240" w:lineRule="auto" w:before="5" w:after="0"/>
              <w:ind w:left="2095" w:right="0" w:hanging="1167"/>
              <w:jc w:val="left"/>
              <w:rPr>
                <w:rFonts w:ascii="Times New Roman" w:eastAsia="Times New Roman"/>
                <w:sz w:val="21"/>
              </w:rPr>
            </w:pPr>
            <w:r>
              <w:rPr>
                <w:position w:val="-1"/>
                <w:sz w:val="21"/>
              </w:rPr>
              <w:t>路基</w:t>
            </w:r>
            <w:r>
              <w:rPr>
                <w:spacing w:val="-3"/>
                <w:position w:val="-1"/>
                <w:sz w:val="21"/>
              </w:rPr>
              <w:t>宽</w:t>
            </w:r>
            <w:r>
              <w:rPr>
                <w:position w:val="-1"/>
                <w:sz w:val="21"/>
              </w:rPr>
              <w:t>度</w:t>
              <w:tab/>
            </w:r>
            <w:r>
              <w:rPr>
                <w:rFonts w:ascii="Times New Roman" w:eastAsia="Times New Roman"/>
                <w:sz w:val="21"/>
              </w:rPr>
              <w:t>m</w:t>
              <w:tab/>
              <w:t>16</w:t>
            </w:r>
          </w:p>
          <w:p>
            <w:pPr>
              <w:pStyle w:val="TableParagraph"/>
              <w:numPr>
                <w:ilvl w:val="0"/>
                <w:numId w:val="2"/>
              </w:numPr>
              <w:tabs>
                <w:tab w:pos="1675" w:val="left" w:leader="none"/>
                <w:tab w:pos="1676" w:val="left" w:leader="none"/>
                <w:tab w:pos="3919" w:val="left" w:leader="none"/>
                <w:tab w:pos="6154" w:val="left" w:leader="none"/>
              </w:tabs>
              <w:spacing w:line="240" w:lineRule="auto" w:before="9" w:after="0"/>
              <w:ind w:left="1675" w:right="0" w:hanging="747"/>
              <w:jc w:val="left"/>
              <w:rPr>
                <w:rFonts w:ascii="Times New Roman" w:eastAsia="Times New Roman"/>
                <w:sz w:val="21"/>
              </w:rPr>
            </w:pPr>
            <w:r>
              <w:rPr>
                <w:sz w:val="21"/>
              </w:rPr>
              <w:t>路面</w:t>
            </w:r>
            <w:r>
              <w:rPr>
                <w:spacing w:val="-3"/>
                <w:sz w:val="21"/>
              </w:rPr>
              <w:t>结</w:t>
            </w:r>
            <w:r>
              <w:rPr>
                <w:sz w:val="21"/>
              </w:rPr>
              <w:t>构</w:t>
            </w:r>
            <w:r>
              <w:rPr>
                <w:spacing w:val="-3"/>
                <w:sz w:val="21"/>
              </w:rPr>
              <w:t>设</w:t>
            </w:r>
            <w:r>
              <w:rPr>
                <w:sz w:val="21"/>
              </w:rPr>
              <w:t>计</w:t>
            </w:r>
            <w:r>
              <w:rPr>
                <w:spacing w:val="-3"/>
                <w:sz w:val="21"/>
              </w:rPr>
              <w:t>年</w:t>
            </w:r>
            <w:r>
              <w:rPr>
                <w:sz w:val="21"/>
              </w:rPr>
              <w:t>限</w:t>
              <w:tab/>
              <w:t>年</w:t>
            </w:r>
            <w:r>
              <w:rPr>
                <w:rFonts w:ascii="Times New Roman" w:eastAsia="Times New Roman"/>
                <w:position w:val="2"/>
                <w:sz w:val="21"/>
              </w:rPr>
              <w:tab/>
              <w:t>15</w:t>
            </w:r>
          </w:p>
          <w:p>
            <w:pPr>
              <w:pStyle w:val="TableParagraph"/>
              <w:tabs>
                <w:tab w:pos="2095" w:val="left" w:leader="none"/>
                <w:tab w:pos="3938" w:val="left" w:leader="none"/>
                <w:tab w:pos="6130" w:val="left" w:leader="none"/>
              </w:tabs>
              <w:spacing w:before="4"/>
              <w:ind w:left="928"/>
              <w:jc w:val="left"/>
              <w:rPr>
                <w:rFonts w:ascii="Times New Roman" w:eastAsia="Times New Roman"/>
                <w:sz w:val="21"/>
              </w:rPr>
            </w:pPr>
            <w:r>
              <w:rPr>
                <w:rFonts w:ascii="Times New Roman" w:eastAsia="Times New Roman"/>
                <w:sz w:val="21"/>
              </w:rPr>
              <w:t>6</w:t>
              <w:tab/>
            </w:r>
            <w:r>
              <w:rPr>
                <w:position w:val="-1"/>
                <w:sz w:val="21"/>
              </w:rPr>
              <w:t>最大</w:t>
            </w:r>
            <w:r>
              <w:rPr>
                <w:spacing w:val="-3"/>
                <w:position w:val="-1"/>
                <w:sz w:val="21"/>
              </w:rPr>
              <w:t>坡</w:t>
            </w:r>
            <w:r>
              <w:rPr>
                <w:position w:val="-1"/>
                <w:sz w:val="21"/>
              </w:rPr>
              <w:t>度</w:t>
              <w:tab/>
            </w:r>
            <w:r>
              <w:rPr>
                <w:rFonts w:ascii="Times New Roman" w:eastAsia="Times New Roman"/>
                <w:sz w:val="21"/>
              </w:rPr>
              <w:t>%</w:t>
              <w:tab/>
              <w:t>2.5</w:t>
            </w:r>
          </w:p>
          <w:p>
            <w:pPr>
              <w:pStyle w:val="TableParagraph"/>
              <w:numPr>
                <w:ilvl w:val="0"/>
                <w:numId w:val="3"/>
              </w:numPr>
              <w:tabs>
                <w:tab w:pos="2095" w:val="left" w:leader="none"/>
                <w:tab w:pos="2096" w:val="left" w:leader="none"/>
                <w:tab w:pos="3943" w:val="left" w:leader="none"/>
                <w:tab w:pos="6106" w:val="left" w:leader="none"/>
              </w:tabs>
              <w:spacing w:line="240" w:lineRule="auto" w:before="8" w:after="0"/>
              <w:ind w:left="2095" w:right="0" w:hanging="1167"/>
              <w:jc w:val="left"/>
              <w:rPr>
                <w:rFonts w:ascii="Times New Roman" w:eastAsia="Times New Roman"/>
                <w:sz w:val="21"/>
              </w:rPr>
            </w:pPr>
            <w:r>
              <w:rPr>
                <w:position w:val="-1"/>
                <w:sz w:val="21"/>
              </w:rPr>
              <w:t>最小</w:t>
            </w:r>
            <w:r>
              <w:rPr>
                <w:spacing w:val="-3"/>
                <w:position w:val="-1"/>
                <w:sz w:val="21"/>
              </w:rPr>
              <w:t>坡</w:t>
            </w:r>
            <w:r>
              <w:rPr>
                <w:position w:val="-1"/>
                <w:sz w:val="21"/>
              </w:rPr>
              <w:t>长</w:t>
              <w:tab/>
            </w:r>
            <w:r>
              <w:rPr>
                <w:rFonts w:ascii="Times New Roman" w:eastAsia="Times New Roman"/>
                <w:sz w:val="21"/>
              </w:rPr>
              <w:t>m</w:t>
              <w:tab/>
            </w:r>
            <w:r>
              <w:rPr>
                <w:rFonts w:ascii="Times New Roman" w:eastAsia="Times New Roman"/>
                <w:spacing w:val="-3"/>
                <w:sz w:val="21"/>
              </w:rPr>
              <w:t>110</w:t>
            </w:r>
          </w:p>
          <w:p>
            <w:pPr>
              <w:pStyle w:val="TableParagraph"/>
              <w:numPr>
                <w:ilvl w:val="0"/>
                <w:numId w:val="3"/>
              </w:numPr>
              <w:tabs>
                <w:tab w:pos="2095" w:val="left" w:leader="none"/>
                <w:tab w:pos="2096" w:val="left" w:leader="none"/>
                <w:tab w:pos="3996" w:val="left" w:leader="none"/>
                <w:tab w:pos="5840" w:val="left" w:leader="none"/>
              </w:tabs>
              <w:spacing w:line="240" w:lineRule="auto" w:before="10" w:after="0"/>
              <w:ind w:left="2095" w:right="0" w:hanging="1167"/>
              <w:jc w:val="left"/>
              <w:rPr>
                <w:sz w:val="21"/>
              </w:rPr>
            </w:pPr>
            <w:r>
              <w:rPr>
                <w:sz w:val="21"/>
              </w:rPr>
              <w:t>交通</w:t>
            </w:r>
            <w:r>
              <w:rPr>
                <w:spacing w:val="-3"/>
                <w:sz w:val="21"/>
              </w:rPr>
              <w:t>等</w:t>
            </w:r>
            <w:r>
              <w:rPr>
                <w:sz w:val="21"/>
              </w:rPr>
              <w:t>级</w:t>
              <w:tab/>
            </w:r>
            <w:r>
              <w:rPr>
                <w:rFonts w:ascii="Times New Roman" w:eastAsia="Times New Roman"/>
                <w:position w:val="2"/>
                <w:sz w:val="21"/>
              </w:rPr>
              <w:t>/</w:t>
              <w:tab/>
            </w:r>
            <w:r>
              <w:rPr>
                <w:sz w:val="21"/>
              </w:rPr>
              <w:t>中等</w:t>
            </w:r>
            <w:r>
              <w:rPr>
                <w:spacing w:val="-3"/>
                <w:sz w:val="21"/>
              </w:rPr>
              <w:t>交</w:t>
            </w:r>
            <w:r>
              <w:rPr>
                <w:sz w:val="21"/>
              </w:rPr>
              <w:t>通</w:t>
            </w:r>
          </w:p>
          <w:p>
            <w:pPr>
              <w:pStyle w:val="TableParagraph"/>
              <w:numPr>
                <w:ilvl w:val="0"/>
                <w:numId w:val="3"/>
              </w:numPr>
              <w:tabs>
                <w:tab w:pos="1883" w:val="left" w:leader="none"/>
                <w:tab w:pos="1884" w:val="left" w:leader="none"/>
                <w:tab w:pos="3919" w:val="left" w:leader="none"/>
                <w:tab w:pos="6207" w:val="left" w:leader="none"/>
              </w:tabs>
              <w:spacing w:line="240" w:lineRule="auto" w:before="6" w:after="0"/>
              <w:ind w:left="1883" w:right="0" w:hanging="955"/>
              <w:jc w:val="left"/>
              <w:rPr>
                <w:rFonts w:ascii="Times New Roman" w:eastAsia="Times New Roman"/>
                <w:sz w:val="21"/>
              </w:rPr>
            </w:pPr>
            <w:r>
              <w:rPr>
                <w:sz w:val="21"/>
              </w:rPr>
              <w:t>抗震</w:t>
            </w:r>
            <w:r>
              <w:rPr>
                <w:spacing w:val="-3"/>
                <w:sz w:val="21"/>
              </w:rPr>
              <w:t>设</w:t>
            </w:r>
            <w:r>
              <w:rPr>
                <w:sz w:val="21"/>
              </w:rPr>
              <w:t>防</w:t>
            </w:r>
            <w:r>
              <w:rPr>
                <w:spacing w:val="-3"/>
                <w:sz w:val="21"/>
              </w:rPr>
              <w:t>烈</w:t>
            </w:r>
            <w:r>
              <w:rPr>
                <w:sz w:val="21"/>
              </w:rPr>
              <w:t>度</w:t>
              <w:tab/>
              <w:t>度</w:t>
            </w:r>
            <w:r>
              <w:rPr>
                <w:rFonts w:ascii="Times New Roman" w:eastAsia="Times New Roman"/>
                <w:position w:val="2"/>
                <w:sz w:val="21"/>
              </w:rPr>
              <w:tab/>
              <w:t>7</w:t>
            </w:r>
          </w:p>
          <w:p>
            <w:pPr>
              <w:pStyle w:val="TableParagraph"/>
              <w:numPr>
                <w:ilvl w:val="0"/>
                <w:numId w:val="3"/>
              </w:numPr>
              <w:tabs>
                <w:tab w:pos="1675" w:val="left" w:leader="none"/>
                <w:tab w:pos="1676" w:val="left" w:leader="none"/>
                <w:tab w:pos="3996" w:val="left" w:leader="none"/>
                <w:tab w:pos="5717" w:val="left" w:leader="none"/>
              </w:tabs>
              <w:spacing w:line="240" w:lineRule="auto" w:before="6" w:after="0"/>
              <w:ind w:left="1675" w:right="0" w:hanging="800"/>
              <w:jc w:val="left"/>
              <w:rPr>
                <w:rFonts w:ascii="Times New Roman" w:eastAsia="Times New Roman"/>
                <w:sz w:val="21"/>
              </w:rPr>
            </w:pPr>
            <w:r>
              <w:rPr>
                <w:position w:val="-1"/>
                <w:sz w:val="21"/>
              </w:rPr>
              <w:t>路面</w:t>
            </w:r>
            <w:r>
              <w:rPr>
                <w:spacing w:val="-3"/>
                <w:position w:val="-1"/>
                <w:sz w:val="21"/>
              </w:rPr>
              <w:t>设</w:t>
            </w:r>
            <w:r>
              <w:rPr>
                <w:position w:val="-1"/>
                <w:sz w:val="21"/>
              </w:rPr>
              <w:t>计</w:t>
            </w:r>
            <w:r>
              <w:rPr>
                <w:spacing w:val="-3"/>
                <w:position w:val="-1"/>
                <w:sz w:val="21"/>
              </w:rPr>
              <w:t>荷</w:t>
            </w:r>
            <w:r>
              <w:rPr>
                <w:position w:val="-1"/>
                <w:sz w:val="21"/>
              </w:rPr>
              <w:t>载</w:t>
            </w:r>
            <w:r>
              <w:rPr>
                <w:spacing w:val="-3"/>
                <w:position w:val="-1"/>
                <w:sz w:val="21"/>
              </w:rPr>
              <w:t>标</w:t>
            </w:r>
            <w:r>
              <w:rPr>
                <w:position w:val="-1"/>
                <w:sz w:val="21"/>
              </w:rPr>
              <w:t>准</w:t>
              <w:tab/>
            </w:r>
            <w:r>
              <w:rPr>
                <w:rFonts w:ascii="Times New Roman" w:eastAsia="Times New Roman"/>
                <w:sz w:val="21"/>
              </w:rPr>
              <w:t>/</w:t>
              <w:tab/>
              <w:t>BZZ-100KN</w:t>
            </w:r>
          </w:p>
          <w:p>
            <w:pPr>
              <w:pStyle w:val="TableParagraph"/>
              <w:numPr>
                <w:ilvl w:val="0"/>
                <w:numId w:val="3"/>
              </w:numPr>
              <w:tabs>
                <w:tab w:pos="2095" w:val="left" w:leader="none"/>
                <w:tab w:pos="2096" w:val="left" w:leader="none"/>
                <w:tab w:pos="3996" w:val="left" w:leader="none"/>
                <w:tab w:pos="5525" w:val="left" w:leader="none"/>
              </w:tabs>
              <w:spacing w:line="240" w:lineRule="auto" w:before="9" w:after="0"/>
              <w:ind w:left="2095" w:right="0" w:hanging="1215"/>
              <w:jc w:val="left"/>
              <w:rPr>
                <w:sz w:val="21"/>
              </w:rPr>
            </w:pPr>
            <w:r>
              <w:rPr>
                <w:sz w:val="21"/>
              </w:rPr>
              <w:t>路面</w:t>
            </w:r>
            <w:r>
              <w:rPr>
                <w:spacing w:val="-3"/>
                <w:sz w:val="21"/>
              </w:rPr>
              <w:t>材</w:t>
            </w:r>
            <w:r>
              <w:rPr>
                <w:sz w:val="21"/>
              </w:rPr>
              <w:t>料</w:t>
              <w:tab/>
            </w:r>
            <w:r>
              <w:rPr>
                <w:rFonts w:ascii="Times New Roman" w:eastAsia="Times New Roman"/>
                <w:position w:val="2"/>
                <w:sz w:val="21"/>
              </w:rPr>
              <w:t>/</w:t>
              <w:tab/>
            </w:r>
            <w:r>
              <w:rPr>
                <w:sz w:val="21"/>
              </w:rPr>
              <w:t>沥青</w:t>
            </w:r>
            <w:r>
              <w:rPr>
                <w:spacing w:val="-3"/>
                <w:sz w:val="21"/>
              </w:rPr>
              <w:t>混</w:t>
            </w:r>
            <w:r>
              <w:rPr>
                <w:sz w:val="21"/>
              </w:rPr>
              <w:t>凝</w:t>
            </w:r>
            <w:r>
              <w:rPr>
                <w:spacing w:val="-3"/>
                <w:sz w:val="21"/>
              </w:rPr>
              <w:t>土</w:t>
            </w:r>
            <w:r>
              <w:rPr>
                <w:sz w:val="21"/>
              </w:rPr>
              <w:t>路面</w:t>
            </w:r>
          </w:p>
          <w:p>
            <w:pPr>
              <w:pStyle w:val="TableParagraph"/>
              <w:numPr>
                <w:ilvl w:val="0"/>
                <w:numId w:val="3"/>
              </w:numPr>
              <w:tabs>
                <w:tab w:pos="1675" w:val="left" w:leader="none"/>
                <w:tab w:pos="1676" w:val="left" w:leader="none"/>
                <w:tab w:pos="3919" w:val="left" w:leader="none"/>
                <w:tab w:pos="6154" w:val="left" w:leader="none"/>
              </w:tabs>
              <w:spacing w:line="240" w:lineRule="auto" w:before="5" w:after="0"/>
              <w:ind w:left="1675" w:right="0" w:hanging="800"/>
              <w:jc w:val="left"/>
              <w:rPr>
                <w:rFonts w:ascii="Times New Roman" w:eastAsia="Times New Roman"/>
                <w:sz w:val="21"/>
              </w:rPr>
            </w:pPr>
            <w:r>
              <w:rPr>
                <w:sz w:val="21"/>
              </w:rPr>
              <w:t>道路</w:t>
            </w:r>
            <w:r>
              <w:rPr>
                <w:spacing w:val="-3"/>
                <w:sz w:val="21"/>
              </w:rPr>
              <w:t>交</w:t>
            </w:r>
            <w:r>
              <w:rPr>
                <w:sz w:val="21"/>
              </w:rPr>
              <w:t>通</w:t>
            </w:r>
            <w:r>
              <w:rPr>
                <w:spacing w:val="-3"/>
                <w:sz w:val="21"/>
              </w:rPr>
              <w:t>饱</w:t>
            </w:r>
            <w:r>
              <w:rPr>
                <w:sz w:val="21"/>
              </w:rPr>
              <w:t>和</w:t>
            </w:r>
            <w:r>
              <w:rPr>
                <w:spacing w:val="-3"/>
                <w:sz w:val="21"/>
              </w:rPr>
              <w:t>年</w:t>
            </w:r>
            <w:r>
              <w:rPr>
                <w:sz w:val="21"/>
              </w:rPr>
              <w:t>限</w:t>
              <w:tab/>
              <w:t>年</w:t>
            </w:r>
            <w:r>
              <w:rPr>
                <w:rFonts w:ascii="Times New Roman" w:eastAsia="Times New Roman"/>
                <w:position w:val="2"/>
                <w:sz w:val="21"/>
              </w:rPr>
              <w:tab/>
              <w:t>15</w:t>
            </w:r>
          </w:p>
          <w:p>
            <w:pPr>
              <w:pStyle w:val="TableParagraph"/>
              <w:numPr>
                <w:ilvl w:val="0"/>
                <w:numId w:val="3"/>
              </w:numPr>
              <w:tabs>
                <w:tab w:pos="2095" w:val="left" w:leader="none"/>
                <w:tab w:pos="2096" w:val="left" w:leader="none"/>
                <w:tab w:pos="3919" w:val="left" w:leader="none"/>
                <w:tab w:pos="5760" w:val="left" w:leader="none"/>
              </w:tabs>
              <w:spacing w:line="240" w:lineRule="auto" w:before="7" w:after="0"/>
              <w:ind w:left="2095" w:right="0" w:hanging="1220"/>
              <w:jc w:val="left"/>
              <w:rPr>
                <w:sz w:val="21"/>
              </w:rPr>
            </w:pPr>
            <w:r>
              <w:rPr>
                <w:sz w:val="21"/>
              </w:rPr>
              <w:t>防洪</w:t>
            </w:r>
            <w:r>
              <w:rPr>
                <w:spacing w:val="-3"/>
                <w:sz w:val="21"/>
              </w:rPr>
              <w:t>标</w:t>
            </w:r>
            <w:r>
              <w:rPr>
                <w:sz w:val="21"/>
              </w:rPr>
              <w:t>准</w:t>
              <w:tab/>
              <w:t>年</w:t>
              <w:tab/>
            </w:r>
            <w:r>
              <w:rPr>
                <w:rFonts w:ascii="Times New Roman" w:eastAsia="Times New Roman"/>
                <w:sz w:val="21"/>
              </w:rPr>
              <w:t>100</w:t>
            </w:r>
            <w:r>
              <w:rPr>
                <w:rFonts w:ascii="Times New Roman" w:eastAsia="Times New Roman"/>
                <w:spacing w:val="5"/>
                <w:sz w:val="21"/>
              </w:rPr>
              <w:t> </w:t>
            </w:r>
            <w:r>
              <w:rPr>
                <w:spacing w:val="-3"/>
                <w:sz w:val="21"/>
              </w:rPr>
              <w:t>年</w:t>
            </w:r>
            <w:r>
              <w:rPr>
                <w:sz w:val="21"/>
              </w:rPr>
              <w:t>一遇</w:t>
            </w:r>
          </w:p>
          <w:p>
            <w:pPr>
              <w:pStyle w:val="TableParagraph"/>
              <w:spacing w:before="8"/>
              <w:jc w:val="left"/>
              <w:rPr>
                <w:b/>
                <w:sz w:val="30"/>
              </w:rPr>
            </w:pPr>
          </w:p>
          <w:p>
            <w:pPr>
              <w:pStyle w:val="TableParagraph"/>
              <w:ind w:left="585"/>
              <w:jc w:val="left"/>
              <w:rPr>
                <w:b/>
                <w:sz w:val="24"/>
              </w:rPr>
            </w:pPr>
            <w:r>
              <w:rPr>
                <w:b/>
                <w:w w:val="95"/>
                <w:sz w:val="24"/>
              </w:rPr>
              <w:t>六、项目概况</w:t>
            </w:r>
          </w:p>
          <w:p>
            <w:pPr>
              <w:pStyle w:val="TableParagraph"/>
              <w:spacing w:before="153"/>
              <w:ind w:left="585"/>
              <w:jc w:val="left"/>
              <w:rPr>
                <w:b/>
                <w:sz w:val="24"/>
              </w:rPr>
            </w:pPr>
            <w:r>
              <w:rPr>
                <w:rFonts w:ascii="Times New Roman" w:eastAsia="Times New Roman"/>
                <w:b/>
                <w:w w:val="95"/>
                <w:sz w:val="24"/>
              </w:rPr>
              <w:t>1</w:t>
            </w:r>
            <w:r>
              <w:rPr>
                <w:b/>
                <w:w w:val="95"/>
                <w:sz w:val="24"/>
              </w:rPr>
              <w:t>、平面布置</w:t>
            </w:r>
          </w:p>
          <w:p>
            <w:pPr>
              <w:pStyle w:val="TableParagraph"/>
              <w:spacing w:line="338" w:lineRule="auto" w:before="132"/>
              <w:ind w:left="103" w:firstLine="479"/>
              <w:jc w:val="left"/>
              <w:rPr>
                <w:sz w:val="24"/>
              </w:rPr>
            </w:pPr>
            <w:r>
              <w:rPr>
                <w:sz w:val="24"/>
              </w:rPr>
              <w:t>道路轴线根据建设单位提供的道路红线而定，设计道路总长 </w:t>
            </w:r>
            <w:r>
              <w:rPr>
                <w:rFonts w:ascii="Times New Roman" w:eastAsia="Times New Roman"/>
                <w:sz w:val="24"/>
              </w:rPr>
              <w:t>314m</w:t>
            </w:r>
            <w:r>
              <w:rPr>
                <w:sz w:val="24"/>
              </w:rPr>
              <w:t>。为了方便残疾人通行，人行道上面层方块转按照无障碍设计设置盲道和无障碍通道。</w:t>
            </w:r>
          </w:p>
          <w:p>
            <w:pPr>
              <w:pStyle w:val="TableParagraph"/>
              <w:spacing w:before="52"/>
              <w:ind w:left="585"/>
              <w:jc w:val="left"/>
              <w:rPr>
                <w:b/>
                <w:sz w:val="24"/>
              </w:rPr>
            </w:pPr>
            <w:r>
              <w:rPr>
                <w:rFonts w:ascii="Times New Roman" w:eastAsia="Times New Roman"/>
                <w:b/>
                <w:w w:val="95"/>
                <w:sz w:val="24"/>
              </w:rPr>
              <w:t>2</w:t>
            </w:r>
            <w:r>
              <w:rPr>
                <w:b/>
                <w:w w:val="95"/>
                <w:sz w:val="24"/>
              </w:rPr>
              <w:t>、纵断面布置</w:t>
            </w:r>
          </w:p>
          <w:p>
            <w:pPr>
              <w:pStyle w:val="TableParagraph"/>
              <w:spacing w:line="345" w:lineRule="auto" w:before="135"/>
              <w:ind w:left="103" w:right="96" w:firstLine="479"/>
              <w:jc w:val="both"/>
              <w:rPr>
                <w:sz w:val="24"/>
              </w:rPr>
            </w:pPr>
            <w:r>
              <w:rPr>
                <w:spacing w:val="-6"/>
                <w:sz w:val="24"/>
              </w:rPr>
              <w:t>本次道路设计标高依据相关规划，同时结合本项目道路周边现状道路高程确定，与既有道路顺接。</w:t>
            </w:r>
            <w:r>
              <w:rPr>
                <w:rFonts w:ascii="Times New Roman" w:eastAsia="Times New Roman"/>
                <w:spacing w:val="-6"/>
                <w:sz w:val="24"/>
              </w:rPr>
              <w:t>Imax=2.5%</w:t>
            </w:r>
            <w:r>
              <w:rPr>
                <w:spacing w:val="-3"/>
                <w:sz w:val="24"/>
              </w:rPr>
              <w:t>，最短坡长 </w:t>
            </w:r>
            <w:r>
              <w:rPr>
                <w:rFonts w:ascii="Times New Roman" w:eastAsia="Times New Roman"/>
                <w:sz w:val="24"/>
              </w:rPr>
              <w:t>110m</w:t>
            </w:r>
            <w:r>
              <w:rPr>
                <w:spacing w:val="1"/>
                <w:sz w:val="24"/>
              </w:rPr>
              <w:t>，竖曲线最小半径：凹 </w:t>
            </w:r>
            <w:r>
              <w:rPr>
                <w:rFonts w:ascii="Times New Roman" w:eastAsia="Times New Roman"/>
                <w:sz w:val="24"/>
              </w:rPr>
              <w:t>450 </w:t>
            </w:r>
            <w:r>
              <w:rPr>
                <w:spacing w:val="-16"/>
                <w:sz w:val="24"/>
              </w:rPr>
              <w:t>米，凸 </w:t>
            </w:r>
            <w:r>
              <w:rPr>
                <w:rFonts w:ascii="Times New Roman" w:eastAsia="Times New Roman"/>
                <w:sz w:val="24"/>
              </w:rPr>
              <w:t>600 </w:t>
            </w:r>
            <w:r>
              <w:rPr>
                <w:sz w:val="24"/>
              </w:rPr>
              <w:t>米。</w:t>
            </w:r>
          </w:p>
          <w:p>
            <w:pPr>
              <w:pStyle w:val="TableParagraph"/>
              <w:spacing w:before="16"/>
              <w:ind w:left="585"/>
              <w:jc w:val="left"/>
              <w:rPr>
                <w:b/>
                <w:sz w:val="24"/>
              </w:rPr>
            </w:pPr>
            <w:r>
              <w:rPr>
                <w:rFonts w:ascii="Times New Roman" w:eastAsia="Times New Roman"/>
                <w:b/>
                <w:w w:val="95"/>
                <w:sz w:val="24"/>
              </w:rPr>
              <w:t>3</w:t>
            </w:r>
            <w:r>
              <w:rPr>
                <w:b/>
                <w:w w:val="95"/>
                <w:sz w:val="24"/>
              </w:rPr>
              <w:t>、横断面布置</w:t>
            </w:r>
          </w:p>
          <w:p>
            <w:pPr>
              <w:pStyle w:val="TableParagraph"/>
              <w:spacing w:line="450" w:lineRule="atLeast" w:before="17"/>
              <w:ind w:left="103" w:right="-15" w:firstLine="479"/>
              <w:jc w:val="left"/>
              <w:rPr>
                <w:sz w:val="24"/>
              </w:rPr>
            </w:pPr>
            <w:r>
              <w:rPr>
                <w:spacing w:val="-8"/>
                <w:sz w:val="24"/>
              </w:rPr>
              <w:t>本项目道路全长 </w:t>
            </w:r>
            <w:r>
              <w:rPr>
                <w:rFonts w:ascii="Times New Roman" w:eastAsia="Times New Roman"/>
                <w:spacing w:val="-4"/>
                <w:sz w:val="24"/>
              </w:rPr>
              <w:t>314m</w:t>
            </w:r>
            <w:r>
              <w:rPr>
                <w:spacing w:val="-14"/>
                <w:sz w:val="24"/>
              </w:rPr>
              <w:t>，红线宽 </w:t>
            </w:r>
            <w:r>
              <w:rPr>
                <w:rFonts w:ascii="Times New Roman" w:eastAsia="Times New Roman"/>
                <w:sz w:val="24"/>
              </w:rPr>
              <w:t>16</w:t>
            </w:r>
            <w:r>
              <w:rPr>
                <w:spacing w:val="-14"/>
                <w:sz w:val="24"/>
              </w:rPr>
              <w:t>。行车道宽 </w:t>
            </w:r>
            <w:r>
              <w:rPr>
                <w:rFonts w:ascii="Times New Roman" w:eastAsia="Times New Roman"/>
                <w:spacing w:val="-5"/>
                <w:sz w:val="24"/>
              </w:rPr>
              <w:t>10m</w:t>
            </w:r>
            <w:r>
              <w:rPr>
                <w:spacing w:val="-8"/>
                <w:sz w:val="24"/>
              </w:rPr>
              <w:t>，人行道宽及绿化带 </w:t>
            </w:r>
            <w:r>
              <w:rPr>
                <w:rFonts w:ascii="Times New Roman" w:eastAsia="Times New Roman"/>
                <w:sz w:val="24"/>
              </w:rPr>
              <w:t>6m</w:t>
            </w:r>
            <w:r>
              <w:rPr>
                <w:sz w:val="24"/>
              </w:rPr>
              <w:t>， 具体如下：</w:t>
            </w:r>
          </w:p>
        </w:tc>
      </w:tr>
    </w:tbl>
    <w:p>
      <w:pPr>
        <w:rPr>
          <w:sz w:val="2"/>
          <w:szCs w:val="2"/>
        </w:rPr>
      </w:pPr>
      <w:r>
        <w:rPr/>
        <w:pict>
          <v:group style="position:absolute;margin-left:109.089996pt;margin-top:300.639954pt;width:377.4pt;height:198.9pt;mso-position-horizontal-relative:page;mso-position-vertical-relative:page;z-index:-199336" coordorigin="2182,6013" coordsize="7548,3978">
            <v:line style="position:absolute" from="2192,6023" to="3166,6023" stroked="true" strokeweight=".48001pt" strokecolor="#000000">
              <v:stroke dashstyle="solid"/>
            </v:line>
            <v:line style="position:absolute" from="3176,6023" to="5245,6023" stroked="true" strokeweight=".48001pt" strokecolor="#000000">
              <v:stroke dashstyle="solid"/>
            </v:line>
            <v:line style="position:absolute" from="5255,6023" to="6186,6023" stroked="true" strokeweight=".48001pt" strokecolor="#000000">
              <v:stroke dashstyle="solid"/>
            </v:line>
            <v:line style="position:absolute" from="6195,6023" to="9720,6023" stroked="true" strokeweight=".48001pt" strokecolor="#000000">
              <v:stroke dashstyle="solid"/>
            </v:line>
            <v:line style="position:absolute" from="2192,6306" to="3166,6306" stroked="true" strokeweight=".48001pt" strokecolor="#000000">
              <v:stroke dashstyle="solid"/>
            </v:line>
            <v:line style="position:absolute" from="3176,6306" to="5245,6306" stroked="true" strokeweight=".48001pt" strokecolor="#000000">
              <v:stroke dashstyle="solid"/>
            </v:line>
            <v:line style="position:absolute" from="5255,6306" to="6186,6306" stroked="true" strokeweight=".48001pt" strokecolor="#000000">
              <v:stroke dashstyle="solid"/>
            </v:line>
            <v:line style="position:absolute" from="6195,6306" to="9720,6306" stroked="true" strokeweight=".48001pt" strokecolor="#000000">
              <v:stroke dashstyle="solid"/>
            </v:line>
            <v:line style="position:absolute" from="2192,6589" to="3166,6589" stroked="true" strokeweight=".47998pt" strokecolor="#000000">
              <v:stroke dashstyle="solid"/>
            </v:line>
            <v:line style="position:absolute" from="3176,6589" to="5245,6589" stroked="true" strokeweight=".47998pt" strokecolor="#000000">
              <v:stroke dashstyle="solid"/>
            </v:line>
            <v:line style="position:absolute" from="5255,6589" to="6186,6589" stroked="true" strokeweight=".47998pt" strokecolor="#000000">
              <v:stroke dashstyle="solid"/>
            </v:line>
            <v:line style="position:absolute" from="6195,6589" to="9720,6589" stroked="true" strokeweight=".47998pt" strokecolor="#000000">
              <v:stroke dashstyle="solid"/>
            </v:line>
            <v:line style="position:absolute" from="2192,6870" to="3166,6870" stroked="true" strokeweight=".47998pt" strokecolor="#000000">
              <v:stroke dashstyle="solid"/>
            </v:line>
            <v:line style="position:absolute" from="3176,6870" to="5245,6870" stroked="true" strokeweight=".47998pt" strokecolor="#000000">
              <v:stroke dashstyle="solid"/>
            </v:line>
            <v:line style="position:absolute" from="5255,6870" to="6186,6870" stroked="true" strokeweight=".47998pt" strokecolor="#000000">
              <v:stroke dashstyle="solid"/>
            </v:line>
            <v:line style="position:absolute" from="6195,6870" to="9720,6870" stroked="true" strokeweight=".47998pt" strokecolor="#000000">
              <v:stroke dashstyle="solid"/>
            </v:line>
            <v:line style="position:absolute" from="2192,7153" to="3166,7153" stroked="true" strokeweight=".48001pt" strokecolor="#000000">
              <v:stroke dashstyle="solid"/>
            </v:line>
            <v:line style="position:absolute" from="3176,7153" to="5245,7153" stroked="true" strokeweight=".48001pt" strokecolor="#000000">
              <v:stroke dashstyle="solid"/>
            </v:line>
            <v:line style="position:absolute" from="5255,7153" to="6186,7153" stroked="true" strokeweight=".48001pt" strokecolor="#000000">
              <v:stroke dashstyle="solid"/>
            </v:line>
            <v:line style="position:absolute" from="6195,7153" to="9720,7153" stroked="true" strokeweight=".48001pt" strokecolor="#000000">
              <v:stroke dashstyle="solid"/>
            </v:line>
            <v:line style="position:absolute" from="2192,7436" to="3166,7436" stroked="true" strokeweight=".48001pt" strokecolor="#000000">
              <v:stroke dashstyle="solid"/>
            </v:line>
            <v:line style="position:absolute" from="3176,7436" to="5245,7436" stroked="true" strokeweight=".48001pt" strokecolor="#000000">
              <v:stroke dashstyle="solid"/>
            </v:line>
            <v:line style="position:absolute" from="5255,7436" to="6186,7436" stroked="true" strokeweight=".48001pt" strokecolor="#000000">
              <v:stroke dashstyle="solid"/>
            </v:line>
            <v:line style="position:absolute" from="6195,7436" to="9720,7436" stroked="true" strokeweight=".48001pt" strokecolor="#000000">
              <v:stroke dashstyle="solid"/>
            </v:line>
            <v:line style="position:absolute" from="2192,7717" to="3166,7717" stroked="true" strokeweight=".48001pt" strokecolor="#000000">
              <v:stroke dashstyle="solid"/>
            </v:line>
            <v:line style="position:absolute" from="3176,7717" to="5245,7717" stroked="true" strokeweight=".48001pt" strokecolor="#000000">
              <v:stroke dashstyle="solid"/>
            </v:line>
            <v:line style="position:absolute" from="5255,7717" to="6186,7717" stroked="true" strokeweight=".48001pt" strokecolor="#000000">
              <v:stroke dashstyle="solid"/>
            </v:line>
            <v:line style="position:absolute" from="6195,7717" to="9720,7717" stroked="true" strokeweight=".48001pt" strokecolor="#000000">
              <v:stroke dashstyle="solid"/>
            </v:line>
            <v:line style="position:absolute" from="2192,8000" to="3166,8000" stroked="true" strokeweight=".48001pt" strokecolor="#000000">
              <v:stroke dashstyle="solid"/>
            </v:line>
            <v:line style="position:absolute" from="3176,8000" to="5245,8000" stroked="true" strokeweight=".48001pt" strokecolor="#000000">
              <v:stroke dashstyle="solid"/>
            </v:line>
            <v:line style="position:absolute" from="5255,8000" to="6186,8000" stroked="true" strokeweight=".48001pt" strokecolor="#000000">
              <v:stroke dashstyle="solid"/>
            </v:line>
            <v:line style="position:absolute" from="6195,8000" to="9720,8000" stroked="true" strokeweight=".48001pt" strokecolor="#000000">
              <v:stroke dashstyle="solid"/>
            </v:line>
            <v:line style="position:absolute" from="2192,8283" to="3166,8283" stroked="true" strokeweight=".47998pt" strokecolor="#000000">
              <v:stroke dashstyle="solid"/>
            </v:line>
            <v:line style="position:absolute" from="3176,8283" to="5245,8283" stroked="true" strokeweight=".47998pt" strokecolor="#000000">
              <v:stroke dashstyle="solid"/>
            </v:line>
            <v:line style="position:absolute" from="5255,8283" to="6186,8283" stroked="true" strokeweight=".47998pt" strokecolor="#000000">
              <v:stroke dashstyle="solid"/>
            </v:line>
            <v:line style="position:absolute" from="6195,8283" to="9720,8283" stroked="true" strokeweight=".47998pt" strokecolor="#000000">
              <v:stroke dashstyle="solid"/>
            </v:line>
            <v:line style="position:absolute" from="2192,8565" to="3166,8565" stroked="true" strokeweight=".48001pt" strokecolor="#000000">
              <v:stroke dashstyle="solid"/>
            </v:line>
            <v:line style="position:absolute" from="3176,8565" to="5245,8565" stroked="true" strokeweight=".48001pt" strokecolor="#000000">
              <v:stroke dashstyle="solid"/>
            </v:line>
            <v:line style="position:absolute" from="5255,8565" to="6186,8565" stroked="true" strokeweight=".48001pt" strokecolor="#000000">
              <v:stroke dashstyle="solid"/>
            </v:line>
            <v:line style="position:absolute" from="6195,8565" to="9720,8565" stroked="true" strokeweight=".48001pt" strokecolor="#000000">
              <v:stroke dashstyle="solid"/>
            </v:line>
            <v:line style="position:absolute" from="2192,8848" to="3166,8848" stroked="true" strokeweight=".48001pt" strokecolor="#000000">
              <v:stroke dashstyle="solid"/>
            </v:line>
            <v:line style="position:absolute" from="3176,8848" to="5245,8848" stroked="true" strokeweight=".48001pt" strokecolor="#000000">
              <v:stroke dashstyle="solid"/>
            </v:line>
            <v:line style="position:absolute" from="5255,8848" to="6186,8848" stroked="true" strokeweight=".48001pt" strokecolor="#000000">
              <v:stroke dashstyle="solid"/>
            </v:line>
            <v:line style="position:absolute" from="6195,8848" to="9720,8848" stroked="true" strokeweight=".48001pt" strokecolor="#000000">
              <v:stroke dashstyle="solid"/>
            </v:line>
            <v:line style="position:absolute" from="2192,9131" to="3166,9131" stroked="true" strokeweight=".47998pt" strokecolor="#000000">
              <v:stroke dashstyle="solid"/>
            </v:line>
            <v:line style="position:absolute" from="3176,9131" to="5245,9131" stroked="true" strokeweight=".47998pt" strokecolor="#000000">
              <v:stroke dashstyle="solid"/>
            </v:line>
            <v:line style="position:absolute" from="5255,9131" to="6186,9131" stroked="true" strokeweight=".47998pt" strokecolor="#000000">
              <v:stroke dashstyle="solid"/>
            </v:line>
            <v:line style="position:absolute" from="6195,9131" to="9720,9131" stroked="true" strokeweight=".47998pt" strokecolor="#000000">
              <v:stroke dashstyle="solid"/>
            </v:line>
            <v:line style="position:absolute" from="2192,9412" to="3166,9412" stroked="true" strokeweight=".48001pt" strokecolor="#000000">
              <v:stroke dashstyle="solid"/>
            </v:line>
            <v:line style="position:absolute" from="3176,9412" to="5245,9412" stroked="true" strokeweight=".48001pt" strokecolor="#000000">
              <v:stroke dashstyle="solid"/>
            </v:line>
            <v:line style="position:absolute" from="5255,9412" to="6186,9412" stroked="true" strokeweight=".48001pt" strokecolor="#000000">
              <v:stroke dashstyle="solid"/>
            </v:line>
            <v:line style="position:absolute" from="6195,9412" to="9720,9412" stroked="true" strokeweight=".48001pt" strokecolor="#000000">
              <v:stroke dashstyle="solid"/>
            </v:line>
            <v:line style="position:absolute" from="2192,9695" to="3166,9695" stroked="true" strokeweight=".48001pt" strokecolor="#000000">
              <v:stroke dashstyle="solid"/>
            </v:line>
            <v:line style="position:absolute" from="3176,9695" to="5245,9695" stroked="true" strokeweight=".48001pt" strokecolor="#000000">
              <v:stroke dashstyle="solid"/>
            </v:line>
            <v:line style="position:absolute" from="5255,9695" to="6186,9695" stroked="true" strokeweight=".48001pt" strokecolor="#000000">
              <v:stroke dashstyle="solid"/>
            </v:line>
            <v:line style="position:absolute" from="6195,9695" to="9720,9695" stroked="true" strokeweight=".48001pt" strokecolor="#000000">
              <v:stroke dashstyle="solid"/>
            </v:line>
            <v:line style="position:absolute" from="2187,6018" to="2187,9985" stroked="true" strokeweight=".48pt" strokecolor="#000000">
              <v:stroke dashstyle="solid"/>
            </v:line>
            <v:line style="position:absolute" from="2192,9981" to="3166,9981" stroked="true" strokeweight=".48001pt" strokecolor="#000000">
              <v:stroke dashstyle="solid"/>
            </v:line>
            <v:line style="position:absolute" from="3171,6018" to="3171,9985" stroked="true" strokeweight=".48pt" strokecolor="#000000">
              <v:stroke dashstyle="solid"/>
            </v:line>
            <v:line style="position:absolute" from="3176,9981" to="5245,9981" stroked="true" strokeweight=".48001pt" strokecolor="#000000">
              <v:stroke dashstyle="solid"/>
            </v:line>
            <v:line style="position:absolute" from="5250,6018" to="5250,9985" stroked="true" strokeweight=".47998pt" strokecolor="#000000">
              <v:stroke dashstyle="solid"/>
            </v:line>
            <v:line style="position:absolute" from="5255,9981" to="6186,9981" stroked="true" strokeweight=".48001pt" strokecolor="#000000">
              <v:stroke dashstyle="solid"/>
            </v:line>
            <v:line style="position:absolute" from="6191,6018" to="6191,9985" stroked="true" strokeweight=".48001pt" strokecolor="#000000">
              <v:stroke dashstyle="solid"/>
            </v:line>
            <v:line style="position:absolute" from="6195,9981" to="9720,9981" stroked="true" strokeweight=".48001pt" strokecolor="#000000">
              <v:stroke dashstyle="solid"/>
            </v:line>
            <v:line style="position:absolute" from="9724,6018" to="9724,9985" stroked="true" strokeweight=".47998pt" strokecolor="#000000">
              <v:stroke dashstyle="solid"/>
            </v:line>
            <w10:wrap type="none"/>
          </v:group>
        </w:pict>
      </w:r>
      <w:r>
        <w:rPr/>
        <w:pict>
          <v:shape style="position:absolute;margin-left:109.339996pt;margin-top:301.129974pt;width:376.9pt;height:197.9pt;mso-position-horizontal-relative:page;mso-position-vertical-relative:page;z-index:112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84"/>
                    <w:gridCol w:w="2079"/>
                    <w:gridCol w:w="941"/>
                    <w:gridCol w:w="3534"/>
                  </w:tblGrid>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6" w:hRule="exact"/>
                    </w:trPr>
                    <w:tc>
                      <w:tcPr>
                        <w:tcW w:w="984" w:type="dxa"/>
                      </w:tcPr>
                      <w:p>
                        <w:pPr/>
                      </w:p>
                    </w:tc>
                    <w:tc>
                      <w:tcPr>
                        <w:tcW w:w="2079" w:type="dxa"/>
                      </w:tcPr>
                      <w:p>
                        <w:pPr/>
                      </w:p>
                    </w:tc>
                    <w:tc>
                      <w:tcPr>
                        <w:tcW w:w="941" w:type="dxa"/>
                      </w:tcPr>
                      <w:p>
                        <w:pPr/>
                      </w:p>
                    </w:tc>
                    <w:tc>
                      <w:tcPr>
                        <w:tcW w:w="353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ind w:left="105"/>
        <w:rPr>
          <w:sz w:val="20"/>
        </w:rPr>
      </w:pPr>
      <w:r>
        <w:rPr>
          <w:sz w:val="20"/>
        </w:rPr>
        <w:pict>
          <v:group style="width:426.95pt;height:698.2pt;mso-position-horizontal-relative:char;mso-position-vertical-relative:line" coordorigin="0,0" coordsize="8539,13964">
            <v:shape style="position:absolute;left:535;top:10;width:7464;height:5971" type="#_x0000_t75" stroked="false">
              <v:imagedata r:id="rId6" o:title=""/>
            </v:shape>
            <v:shape style="position:absolute;left:5;top:5;width:8529;height:13954" type="#_x0000_t202" filled="false" stroked="true" strokeweight=".47998pt" strokecolor="#000000">
              <v:textbox inset="0,0,0,0">
                <w:txbxContent>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3"/>
                      <w:rPr>
                        <w:b/>
                        <w:sz w:val="32"/>
                      </w:rPr>
                    </w:pPr>
                  </w:p>
                  <w:p>
                    <w:pPr>
                      <w:tabs>
                        <w:tab w:pos="1231" w:val="left" w:leader="none"/>
                      </w:tabs>
                      <w:spacing w:before="0"/>
                      <w:ind w:left="441" w:right="0" w:firstLine="0"/>
                      <w:jc w:val="center"/>
                      <w:rPr>
                        <w:b/>
                        <w:sz w:val="22"/>
                      </w:rPr>
                    </w:pPr>
                    <w:r>
                      <w:rPr>
                        <w:b/>
                        <w:sz w:val="22"/>
                      </w:rPr>
                      <w:t>图</w:t>
                    </w:r>
                    <w:r>
                      <w:rPr>
                        <w:b/>
                        <w:spacing w:val="-55"/>
                        <w:sz w:val="22"/>
                      </w:rPr>
                      <w:t> </w:t>
                    </w:r>
                    <w:r>
                      <w:rPr>
                        <w:rFonts w:ascii="Times New Roman" w:eastAsia="Times New Roman"/>
                        <w:b/>
                        <w:sz w:val="22"/>
                      </w:rPr>
                      <w:t>1-1</w:t>
                      <w:tab/>
                    </w:r>
                    <w:r>
                      <w:rPr>
                        <w:b/>
                        <w:w w:val="95"/>
                        <w:sz w:val="22"/>
                      </w:rPr>
                      <w:t>道路横断面图</w:t>
                    </w:r>
                  </w:p>
                  <w:p>
                    <w:pPr>
                      <w:spacing w:before="118"/>
                      <w:ind w:left="585" w:right="0" w:firstLine="0"/>
                      <w:jc w:val="left"/>
                      <w:rPr>
                        <w:b/>
                        <w:sz w:val="24"/>
                      </w:rPr>
                    </w:pPr>
                    <w:r>
                      <w:rPr>
                        <w:rFonts w:ascii="Times New Roman" w:eastAsia="Times New Roman"/>
                        <w:b/>
                        <w:w w:val="95"/>
                        <w:sz w:val="24"/>
                      </w:rPr>
                      <w:t>4</w:t>
                    </w:r>
                    <w:r>
                      <w:rPr>
                        <w:b/>
                        <w:w w:val="95"/>
                        <w:sz w:val="24"/>
                      </w:rPr>
                      <w:t>、路基工程</w:t>
                    </w:r>
                  </w:p>
                  <w:p>
                    <w:pPr>
                      <w:spacing w:before="136"/>
                      <w:ind w:left="583" w:right="0" w:firstLine="0"/>
                      <w:jc w:val="left"/>
                      <w:rPr>
                        <w:sz w:val="24"/>
                      </w:rPr>
                    </w:pPr>
                    <w:r>
                      <w:rPr>
                        <w:sz w:val="24"/>
                      </w:rPr>
                      <w:t>①一般路基处理</w:t>
                    </w:r>
                  </w:p>
                  <w:p>
                    <w:pPr>
                      <w:spacing w:line="345" w:lineRule="auto" w:before="151"/>
                      <w:ind w:left="103" w:right="99" w:firstLine="479"/>
                      <w:jc w:val="both"/>
                      <w:rPr>
                        <w:sz w:val="24"/>
                      </w:rPr>
                    </w:pPr>
                    <w:r>
                      <w:rPr>
                        <w:spacing w:val="-7"/>
                        <w:sz w:val="24"/>
                      </w:rPr>
                      <w:t>本段道路填方路段，原地面以下清除填土等不良土质，其换填材料为合格土</w:t>
                    </w:r>
                    <w:r>
                      <w:rPr>
                        <w:spacing w:val="-6"/>
                        <w:sz w:val="24"/>
                      </w:rPr>
                      <w:t>石方；其填方高度</w:t>
                    </w:r>
                    <w:r>
                      <w:rPr>
                        <w:rFonts w:ascii="Times New Roman" w:hAnsi="Times New Roman" w:eastAsia="Times New Roman"/>
                        <w:sz w:val="24"/>
                      </w:rPr>
                      <w:t>≤1.2m </w:t>
                    </w:r>
                    <w:r>
                      <w:rPr>
                        <w:spacing w:val="-5"/>
                        <w:sz w:val="24"/>
                      </w:rPr>
                      <w:t>的段落，路基填筑均采用砂砾石填筑；填方段至少保证</w:t>
                    </w:r>
                    <w:r>
                      <w:rPr>
                        <w:spacing w:val="-20"/>
                        <w:sz w:val="24"/>
                      </w:rPr>
                      <w:t>路床顶 </w:t>
                    </w:r>
                    <w:r>
                      <w:rPr>
                        <w:rFonts w:ascii="Times New Roman" w:hAnsi="Times New Roman" w:eastAsia="Times New Roman"/>
                        <w:sz w:val="24"/>
                      </w:rPr>
                      <w:t>80cm</w:t>
                    </w:r>
                    <w:r>
                      <w:rPr>
                        <w:sz w:val="24"/>
                      </w:rPr>
                      <w:t>（</w:t>
                    </w:r>
                    <w:r>
                      <w:rPr>
                        <w:spacing w:val="-13"/>
                        <w:sz w:val="24"/>
                      </w:rPr>
                      <w:t>人行道为 </w:t>
                    </w:r>
                    <w:r>
                      <w:rPr>
                        <w:rFonts w:ascii="Times New Roman" w:hAnsi="Times New Roman" w:eastAsia="Times New Roman"/>
                        <w:sz w:val="24"/>
                      </w:rPr>
                      <w:t>40cm</w:t>
                    </w:r>
                    <w:r>
                      <w:rPr>
                        <w:sz w:val="24"/>
                      </w:rPr>
                      <w:t>）范围内为砂砾石。</w:t>
                    </w:r>
                  </w:p>
                  <w:p>
                    <w:pPr>
                      <w:spacing w:before="18"/>
                      <w:ind w:left="583" w:right="0" w:firstLine="0"/>
                      <w:jc w:val="left"/>
                      <w:rPr>
                        <w:sz w:val="24"/>
                      </w:rPr>
                    </w:pPr>
                    <w:r>
                      <w:rPr>
                        <w:sz w:val="24"/>
                      </w:rPr>
                      <w:t>②软基处理</w:t>
                    </w:r>
                  </w:p>
                  <w:p>
                    <w:pPr>
                      <w:spacing w:line="357" w:lineRule="auto" w:before="151"/>
                      <w:ind w:left="103" w:right="78" w:firstLine="479"/>
                      <w:jc w:val="left"/>
                      <w:rPr>
                        <w:sz w:val="24"/>
                      </w:rPr>
                    </w:pPr>
                    <w:r>
                      <w:rPr>
                        <w:spacing w:val="-8"/>
                        <w:sz w:val="24"/>
                      </w:rPr>
                      <w:t>根据现场调查，全线不存在鱼塘、水体与其他类型的软弱地基，因此本次设计不进行专门的软基处理设计。</w:t>
                    </w:r>
                  </w:p>
                  <w:p>
                    <w:pPr>
                      <w:spacing w:before="34"/>
                      <w:ind w:left="583" w:right="0" w:firstLine="0"/>
                      <w:jc w:val="left"/>
                      <w:rPr>
                        <w:sz w:val="24"/>
                      </w:rPr>
                    </w:pPr>
                    <w:r>
                      <w:rPr>
                        <w:sz w:val="24"/>
                      </w:rPr>
                      <w:t>③路基边坡、边沟</w:t>
                    </w:r>
                  </w:p>
                  <w:p>
                    <w:pPr>
                      <w:spacing w:line="343" w:lineRule="auto" w:before="153"/>
                      <w:ind w:left="103" w:right="-6" w:firstLine="479"/>
                      <w:jc w:val="left"/>
                      <w:rPr>
                        <w:sz w:val="24"/>
                      </w:rPr>
                    </w:pPr>
                    <w:r>
                      <w:rPr>
                        <w:spacing w:val="-8"/>
                        <w:sz w:val="24"/>
                      </w:rPr>
                      <w:t>本工程位于新宁镇，周边土地已有规划，故边坡不考虑永久边坡。工程实施是道路沿线为农田，边坡采用土质边坡以稳定路基。对于路堤边坡坡率为 </w:t>
                    </w:r>
                    <w:r>
                      <w:rPr>
                        <w:rFonts w:ascii="Times New Roman" w:eastAsia="Times New Roman"/>
                        <w:sz w:val="24"/>
                      </w:rPr>
                      <w:t>1:1.5</w:t>
                    </w:r>
                    <w:r>
                      <w:rPr>
                        <w:sz w:val="24"/>
                      </w:rPr>
                      <w:t>， 对于路晢边坡坡率为 </w:t>
                    </w:r>
                    <w:r>
                      <w:rPr>
                        <w:rFonts w:ascii="Times New Roman" w:eastAsia="Times New Roman"/>
                        <w:sz w:val="24"/>
                      </w:rPr>
                      <w:t>1:1.0</w:t>
                    </w:r>
                    <w:r>
                      <w:rPr>
                        <w:sz w:val="24"/>
                      </w:rPr>
                      <w:t>。边坡坡面须粘土夯实，对有条件的地段考虑坡面植草绿化。</w:t>
                    </w:r>
                  </w:p>
                  <w:p>
                    <w:pPr>
                      <w:spacing w:before="50"/>
                      <w:ind w:left="583" w:right="0" w:firstLine="0"/>
                      <w:jc w:val="left"/>
                      <w:rPr>
                        <w:sz w:val="24"/>
                      </w:rPr>
                    </w:pPr>
                    <w:r>
                      <w:rPr>
                        <w:sz w:val="24"/>
                      </w:rPr>
                      <w:t>④密实度</w:t>
                    </w:r>
                  </w:p>
                  <w:p>
                    <w:pPr>
                      <w:spacing w:line="357" w:lineRule="auto" w:before="151"/>
                      <w:ind w:left="103" w:right="7" w:firstLine="479"/>
                      <w:jc w:val="left"/>
                      <w:rPr>
                        <w:sz w:val="24"/>
                      </w:rPr>
                    </w:pPr>
                    <w:r>
                      <w:rPr>
                        <w:sz w:val="24"/>
                      </w:rPr>
                      <w:t>路基的压实度一般采用重型击实标准，路面底面以下路基不同深度的压实度及填料要求如下。</w:t>
                    </w:r>
                  </w:p>
                </w:txbxContent>
              </v:textbox>
              <v:stroke dashstyle="solid"/>
              <w10:wrap type="none"/>
            </v:shape>
          </v:group>
        </w:pict>
      </w:r>
      <w:r>
        <w:rPr>
          <w:sz w:val="20"/>
        </w:rPr>
      </w:r>
    </w:p>
    <w:p>
      <w:pPr>
        <w:spacing w:after="0"/>
        <w:rPr>
          <w:sz w:val="20"/>
        </w:rPr>
        <w:sectPr>
          <w:pgSz w:w="11910" w:h="16850"/>
          <w:pgMar w:header="0" w:footer="1141" w:top="1440" w:bottom="1340" w:left="1580" w:right="1580"/>
        </w:sectPr>
      </w:pPr>
    </w:p>
    <w:p>
      <w:pPr>
        <w:tabs>
          <w:tab w:pos="861" w:val="left" w:leader="none"/>
        </w:tabs>
        <w:spacing w:before="9"/>
        <w:ind w:left="0" w:right="19" w:firstLine="0"/>
        <w:jc w:val="center"/>
        <w:rPr>
          <w:b/>
          <w:sz w:val="24"/>
        </w:rPr>
      </w:pPr>
      <w:r>
        <w:rPr/>
        <w:pict>
          <v:group style="position:absolute;margin-left:84.014pt;margin-top:71.749977pt;width:427.45pt;height:693.3pt;mso-position-horizontal-relative:page;mso-position-vertical-relative:page;z-index:-199216" coordorigin="1680,1435" coordsize="8549,13866">
            <v:line style="position:absolute" from="1695,1445" to="10214,1445" stroked="true" strokeweight=".48pt" strokecolor="#000000">
              <v:stroke dashstyle="solid"/>
            </v:line>
            <v:line style="position:absolute" from="1690,1440" to="1690,15290" stroked="true" strokeweight=".48pt" strokecolor="#000000">
              <v:stroke dashstyle="solid"/>
            </v:line>
            <v:line style="position:absolute" from="1685,15295" to="1695,15295" stroked="true" strokeweight=".47998pt" strokecolor="#000000">
              <v:stroke dashstyle="solid"/>
            </v:line>
            <v:line style="position:absolute" from="1685,15295" to="1695,15295" stroked="true" strokeweight=".47998pt" strokecolor="#000000">
              <v:stroke dashstyle="solid"/>
            </v:line>
            <v:line style="position:absolute" from="1695,15295" to="10214,15295" stroked="true" strokeweight=".47998pt" strokecolor="#000000">
              <v:stroke dashstyle="solid"/>
            </v:line>
            <v:line style="position:absolute" from="10219,1440" to="10219,15290" stroked="true" strokeweight=".47998pt" strokecolor="#000000">
              <v:stroke dashstyle="solid"/>
            </v:line>
            <v:line style="position:absolute" from="10214,15295" to="10224,15295" stroked="true" strokeweight=".47998pt" strokecolor="#000000">
              <v:stroke dashstyle="solid"/>
            </v:line>
            <v:line style="position:absolute" from="10214,15295" to="10224,15295" stroked="true" strokeweight=".47998pt" strokecolor="#000000">
              <v:stroke dashstyle="solid"/>
            </v:line>
            <w10:wrap type="none"/>
          </v:group>
        </w:pict>
      </w:r>
      <w:r>
        <w:rPr>
          <w:b/>
          <w:sz w:val="24"/>
        </w:rPr>
        <w:t>表</w:t>
      </w:r>
      <w:r>
        <w:rPr>
          <w:b/>
          <w:spacing w:val="-60"/>
          <w:sz w:val="24"/>
        </w:rPr>
        <w:t> </w:t>
      </w:r>
      <w:r>
        <w:rPr>
          <w:rFonts w:ascii="Times New Roman" w:eastAsia="Times New Roman"/>
          <w:b/>
          <w:sz w:val="24"/>
        </w:rPr>
        <w:t>1-5</w:t>
        <w:tab/>
      </w:r>
      <w:r>
        <w:rPr>
          <w:b/>
          <w:w w:val="95"/>
          <w:sz w:val="24"/>
        </w:rPr>
        <w:t>主要工程数量表</w:t>
      </w:r>
    </w:p>
    <w:p>
      <w:pPr>
        <w:pStyle w:val="BodyText"/>
        <w:spacing w:before="6"/>
        <w:rPr>
          <w:b/>
          <w:sz w:val="10"/>
        </w:rPr>
      </w:pPr>
      <w:r>
        <w:rPr/>
        <w:drawing>
          <wp:anchor distT="0" distB="0" distL="0" distR="0" allowOverlap="1" layoutInCell="1" locked="0" behindDoc="0" simplePos="0" relativeHeight="1192">
            <wp:simplePos x="0" y="0"/>
            <wp:positionH relativeFrom="page">
              <wp:posOffset>1141730</wp:posOffset>
            </wp:positionH>
            <wp:positionV relativeFrom="paragraph">
              <wp:posOffset>111885</wp:posOffset>
            </wp:positionV>
            <wp:extent cx="5217545" cy="1684020"/>
            <wp:effectExtent l="0" t="0" r="0" b="0"/>
            <wp:wrapTopAndBottom/>
            <wp:docPr id="1" name="image2.jpeg" descr=""/>
            <wp:cNvGraphicFramePr>
              <a:graphicFrameLocks noChangeAspect="1"/>
            </wp:cNvGraphicFramePr>
            <a:graphic>
              <a:graphicData uri="http://schemas.openxmlformats.org/drawingml/2006/picture">
                <pic:pic>
                  <pic:nvPicPr>
                    <pic:cNvPr id="2" name="image2.jpeg"/>
                    <pic:cNvPicPr/>
                  </pic:nvPicPr>
                  <pic:blipFill>
                    <a:blip r:embed="rId7" cstate="print"/>
                    <a:stretch>
                      <a:fillRect/>
                    </a:stretch>
                  </pic:blipFill>
                  <pic:spPr>
                    <a:xfrm>
                      <a:off x="0" y="0"/>
                      <a:ext cx="5217545" cy="1684020"/>
                    </a:xfrm>
                    <a:prstGeom prst="rect">
                      <a:avLst/>
                    </a:prstGeom>
                  </pic:spPr>
                </pic:pic>
              </a:graphicData>
            </a:graphic>
          </wp:anchor>
        </w:drawing>
      </w:r>
    </w:p>
    <w:p>
      <w:pPr>
        <w:pStyle w:val="BodyText"/>
        <w:spacing w:before="72"/>
        <w:ind w:left="698"/>
      </w:pPr>
      <w:r>
        <w:rPr/>
        <w:t>⑤路基支档工程 </w:t>
      </w:r>
    </w:p>
    <w:p>
      <w:pPr>
        <w:pStyle w:val="BodyText"/>
        <w:spacing w:before="154"/>
        <w:ind w:left="698"/>
      </w:pPr>
      <w:r>
        <w:rPr/>
        <w:t>道路两侧场地均为规划城市用地，目前为农田，不涉及路基支档工程。</w:t>
      </w:r>
    </w:p>
    <w:p>
      <w:pPr>
        <w:pStyle w:val="Heading3"/>
        <w:spacing w:before="151"/>
      </w:pPr>
      <w:r>
        <w:rPr>
          <w:rFonts w:ascii="Times New Roman" w:eastAsia="Times New Roman"/>
          <w:w w:val="95"/>
        </w:rPr>
        <w:t>5</w:t>
      </w:r>
      <w:r>
        <w:rPr>
          <w:w w:val="95"/>
        </w:rPr>
        <w:t>、路面工程</w:t>
      </w:r>
    </w:p>
    <w:p>
      <w:pPr>
        <w:pStyle w:val="BodyText"/>
        <w:spacing w:before="135"/>
        <w:ind w:left="698"/>
      </w:pPr>
      <w:r>
        <w:rPr/>
        <w:t>①路面结构确定</w:t>
      </w:r>
    </w:p>
    <w:p>
      <w:pPr>
        <w:pStyle w:val="BodyText"/>
        <w:spacing w:line="357" w:lineRule="auto" w:before="151"/>
        <w:ind w:left="218" w:right="233" w:firstLine="479"/>
        <w:jc w:val="both"/>
      </w:pPr>
      <w:r>
        <w:rPr>
          <w:spacing w:val="-5"/>
        </w:rPr>
        <w:t>根据片区已建或已设计相同交通等级的道路结构，结合本次道路的性质及所</w:t>
      </w:r>
      <w:r>
        <w:rPr>
          <w:spacing w:val="-12"/>
        </w:rPr>
        <w:t>承担的功能，车行道: </w:t>
      </w:r>
      <w:r>
        <w:rPr/>
        <w:t>4厘米细粒式沥青砼面层+5厘米中粒式沥青砼+20厘米水稳层（水泥5%）+20厘米石灰、粉煤灰、碎石基层（7：13：80）+20厘米石灰、碎</w:t>
      </w:r>
      <w:r>
        <w:rPr>
          <w:spacing w:val="-1"/>
        </w:rPr>
        <w:t>石基层</w:t>
      </w:r>
      <w:r>
        <w:rPr/>
        <w:t>（7：93）+页岩分层压实。 </w:t>
      </w:r>
    </w:p>
    <w:p>
      <w:pPr>
        <w:pStyle w:val="BodyText"/>
        <w:spacing w:before="36"/>
        <w:ind w:left="698"/>
      </w:pPr>
      <w:r>
        <w:rPr/>
        <w:t>详见下表。 </w:t>
      </w:r>
    </w:p>
    <w:p>
      <w:pPr>
        <w:pStyle w:val="BodyText"/>
        <w:spacing w:before="12"/>
        <w:rPr>
          <w:sz w:val="8"/>
        </w:rPr>
      </w:pPr>
    </w:p>
    <w:p>
      <w:pPr>
        <w:pStyle w:val="Heading3"/>
        <w:tabs>
          <w:tab w:pos="3357" w:val="left" w:leader="none"/>
        </w:tabs>
        <w:spacing w:before="34"/>
        <w:ind w:left="2496"/>
      </w:pPr>
      <w:r>
        <w:rPr/>
        <w:pict>
          <v:shape style="position:absolute;margin-left:102.379997pt;margin-top:27.115623pt;width:390.95pt;height:131.950pt;mso-position-horizontal-relative:page;mso-position-vertical-relative:paragraph;z-index:124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2"/>
                    <w:gridCol w:w="1844"/>
                    <w:gridCol w:w="2278"/>
                  </w:tblGrid>
                  <w:tr>
                    <w:trPr>
                      <w:trHeight w:val="439" w:hRule="exact"/>
                    </w:trPr>
                    <w:tc>
                      <w:tcPr>
                        <w:tcW w:w="3682" w:type="dxa"/>
                      </w:tcPr>
                      <w:p>
                        <w:pPr>
                          <w:pStyle w:val="TableParagraph"/>
                          <w:spacing w:before="45"/>
                          <w:ind w:left="240" w:right="240"/>
                          <w:rPr>
                            <w:b/>
                            <w:sz w:val="21"/>
                          </w:rPr>
                        </w:pPr>
                        <w:r>
                          <w:rPr>
                            <w:b/>
                            <w:sz w:val="21"/>
                          </w:rPr>
                          <w:t>结构层</w:t>
                        </w:r>
                      </w:p>
                    </w:tc>
                    <w:tc>
                      <w:tcPr>
                        <w:tcW w:w="1844" w:type="dxa"/>
                      </w:tcPr>
                      <w:p>
                        <w:pPr>
                          <w:pStyle w:val="TableParagraph"/>
                          <w:spacing w:before="45"/>
                          <w:ind w:left="341" w:right="341"/>
                          <w:rPr>
                            <w:b/>
                            <w:sz w:val="21"/>
                          </w:rPr>
                        </w:pPr>
                        <w:r>
                          <w:rPr>
                            <w:b/>
                            <w:sz w:val="21"/>
                          </w:rPr>
                          <w:t>厚度（</w:t>
                        </w:r>
                        <w:r>
                          <w:rPr>
                            <w:rFonts w:ascii="Times New Roman" w:eastAsia="Times New Roman"/>
                            <w:b/>
                            <w:sz w:val="21"/>
                          </w:rPr>
                          <w:t>cm</w:t>
                        </w:r>
                        <w:r>
                          <w:rPr>
                            <w:b/>
                            <w:sz w:val="21"/>
                          </w:rPr>
                          <w:t>）</w:t>
                        </w:r>
                      </w:p>
                    </w:tc>
                    <w:tc>
                      <w:tcPr>
                        <w:tcW w:w="2278" w:type="dxa"/>
                      </w:tcPr>
                      <w:p>
                        <w:pPr>
                          <w:pStyle w:val="TableParagraph"/>
                          <w:spacing w:before="45"/>
                          <w:ind w:left="228" w:right="228"/>
                          <w:rPr>
                            <w:b/>
                            <w:sz w:val="21"/>
                          </w:rPr>
                        </w:pPr>
                        <w:r>
                          <w:rPr>
                            <w:b/>
                            <w:sz w:val="21"/>
                          </w:rPr>
                          <w:t>弯沉值（</w:t>
                        </w:r>
                        <w:r>
                          <w:rPr>
                            <w:rFonts w:ascii="Times New Roman" w:eastAsia="Times New Roman"/>
                            <w:b/>
                            <w:sz w:val="21"/>
                          </w:rPr>
                          <w:t>0.01mm</w:t>
                        </w:r>
                        <w:r>
                          <w:rPr>
                            <w:b/>
                            <w:sz w:val="21"/>
                          </w:rPr>
                          <w:t>）</w:t>
                        </w:r>
                      </w:p>
                    </w:tc>
                  </w:tr>
                  <w:tr>
                    <w:trPr>
                      <w:trHeight w:val="454" w:hRule="exact"/>
                    </w:trPr>
                    <w:tc>
                      <w:tcPr>
                        <w:tcW w:w="3682" w:type="dxa"/>
                      </w:tcPr>
                      <w:p>
                        <w:pPr>
                          <w:pStyle w:val="TableParagraph"/>
                          <w:spacing w:before="52"/>
                          <w:ind w:left="240" w:right="240"/>
                          <w:rPr>
                            <w:sz w:val="21"/>
                          </w:rPr>
                        </w:pPr>
                        <w:r>
                          <w:rPr>
                            <w:sz w:val="21"/>
                          </w:rPr>
                          <w:t>4 厘米细粒式沥青砼面层</w:t>
                        </w:r>
                      </w:p>
                    </w:tc>
                    <w:tc>
                      <w:tcPr>
                        <w:tcW w:w="1844" w:type="dxa"/>
                      </w:tcPr>
                      <w:p>
                        <w:pPr>
                          <w:pStyle w:val="TableParagraph"/>
                          <w:spacing w:before="101"/>
                          <w:rPr>
                            <w:rFonts w:ascii="Times New Roman"/>
                            <w:b/>
                            <w:sz w:val="21"/>
                          </w:rPr>
                        </w:pPr>
                        <w:r>
                          <w:rPr>
                            <w:rFonts w:ascii="Times New Roman"/>
                            <w:b/>
                            <w:w w:val="100"/>
                            <w:sz w:val="21"/>
                          </w:rPr>
                          <w:t>4</w:t>
                        </w:r>
                      </w:p>
                    </w:tc>
                    <w:tc>
                      <w:tcPr>
                        <w:tcW w:w="2278" w:type="dxa"/>
                      </w:tcPr>
                      <w:p>
                        <w:pPr>
                          <w:pStyle w:val="TableParagraph"/>
                          <w:spacing w:before="96"/>
                          <w:ind w:left="228" w:right="227"/>
                          <w:rPr>
                            <w:rFonts w:ascii="Times New Roman"/>
                            <w:sz w:val="21"/>
                          </w:rPr>
                        </w:pPr>
                        <w:r>
                          <w:rPr>
                            <w:rFonts w:ascii="Times New Roman"/>
                            <w:sz w:val="21"/>
                          </w:rPr>
                          <w:t>19.5</w:t>
                        </w:r>
                      </w:p>
                    </w:tc>
                  </w:tr>
                  <w:tr>
                    <w:trPr>
                      <w:trHeight w:val="384" w:hRule="exact"/>
                    </w:trPr>
                    <w:tc>
                      <w:tcPr>
                        <w:tcW w:w="3682" w:type="dxa"/>
                      </w:tcPr>
                      <w:p>
                        <w:pPr>
                          <w:pStyle w:val="TableParagraph"/>
                          <w:spacing w:before="16"/>
                          <w:ind w:left="242" w:right="240"/>
                          <w:rPr>
                            <w:sz w:val="21"/>
                          </w:rPr>
                        </w:pPr>
                        <w:r>
                          <w:rPr>
                            <w:sz w:val="21"/>
                          </w:rPr>
                          <w:t>5 厘米中粒式沥青砼</w:t>
                        </w:r>
                      </w:p>
                    </w:tc>
                    <w:tc>
                      <w:tcPr>
                        <w:tcW w:w="1844" w:type="dxa"/>
                      </w:tcPr>
                      <w:p>
                        <w:pPr>
                          <w:pStyle w:val="TableParagraph"/>
                          <w:spacing w:before="65"/>
                          <w:rPr>
                            <w:rFonts w:ascii="Times New Roman"/>
                            <w:b/>
                            <w:sz w:val="21"/>
                          </w:rPr>
                        </w:pPr>
                        <w:r>
                          <w:rPr>
                            <w:rFonts w:ascii="Times New Roman"/>
                            <w:b/>
                            <w:w w:val="100"/>
                            <w:sz w:val="21"/>
                          </w:rPr>
                          <w:t>5</w:t>
                        </w:r>
                      </w:p>
                    </w:tc>
                    <w:tc>
                      <w:tcPr>
                        <w:tcW w:w="2278" w:type="dxa"/>
                      </w:tcPr>
                      <w:p>
                        <w:pPr>
                          <w:pStyle w:val="TableParagraph"/>
                          <w:spacing w:before="60"/>
                          <w:ind w:left="228" w:right="227"/>
                          <w:rPr>
                            <w:rFonts w:ascii="Times New Roman"/>
                            <w:sz w:val="21"/>
                          </w:rPr>
                        </w:pPr>
                        <w:r>
                          <w:rPr>
                            <w:rFonts w:ascii="Times New Roman"/>
                            <w:sz w:val="21"/>
                          </w:rPr>
                          <w:t>21.3</w:t>
                        </w:r>
                      </w:p>
                    </w:tc>
                  </w:tr>
                  <w:tr>
                    <w:trPr>
                      <w:trHeight w:val="554" w:hRule="exact"/>
                    </w:trPr>
                    <w:tc>
                      <w:tcPr>
                        <w:tcW w:w="3682" w:type="dxa"/>
                      </w:tcPr>
                      <w:p>
                        <w:pPr>
                          <w:pStyle w:val="TableParagraph"/>
                          <w:spacing w:line="239" w:lineRule="exact"/>
                          <w:ind w:left="103" w:firstLine="26"/>
                          <w:jc w:val="left"/>
                          <w:rPr>
                            <w:sz w:val="21"/>
                          </w:rPr>
                        </w:pPr>
                        <w:r>
                          <w:rPr>
                            <w:sz w:val="21"/>
                          </w:rPr>
                          <w:t>20</w:t>
                        </w:r>
                        <w:r>
                          <w:rPr>
                            <w:spacing w:val="-11"/>
                            <w:sz w:val="21"/>
                          </w:rPr>
                          <w:t> 厘米水稳层</w:t>
                        </w:r>
                        <w:r>
                          <w:rPr>
                            <w:sz w:val="21"/>
                          </w:rPr>
                          <w:t>（</w:t>
                        </w:r>
                        <w:r>
                          <w:rPr>
                            <w:spacing w:val="-18"/>
                            <w:sz w:val="21"/>
                          </w:rPr>
                          <w:t>水泥 </w:t>
                        </w:r>
                        <w:r>
                          <w:rPr>
                            <w:sz w:val="21"/>
                          </w:rPr>
                          <w:t>5%）+20</w:t>
                        </w:r>
                        <w:r>
                          <w:rPr>
                            <w:spacing w:val="-14"/>
                            <w:sz w:val="21"/>
                          </w:rPr>
                          <w:t> 厘米石</w:t>
                        </w:r>
                      </w:p>
                      <w:p>
                        <w:pPr>
                          <w:pStyle w:val="TableParagraph"/>
                          <w:spacing w:line="273" w:lineRule="exact"/>
                          <w:ind w:left="103"/>
                          <w:jc w:val="left"/>
                          <w:rPr>
                            <w:sz w:val="21"/>
                          </w:rPr>
                        </w:pPr>
                        <w:r>
                          <w:rPr>
                            <w:sz w:val="21"/>
                          </w:rPr>
                          <w:t>灰、粉煤灰、碎石基层（7：13：80）</w:t>
                        </w:r>
                      </w:p>
                    </w:tc>
                    <w:tc>
                      <w:tcPr>
                        <w:tcW w:w="1844" w:type="dxa"/>
                      </w:tcPr>
                      <w:p>
                        <w:pPr>
                          <w:pStyle w:val="TableParagraph"/>
                          <w:spacing w:before="149"/>
                          <w:ind w:left="341" w:right="341"/>
                          <w:rPr>
                            <w:rFonts w:ascii="Times New Roman"/>
                            <w:b/>
                            <w:sz w:val="21"/>
                          </w:rPr>
                        </w:pPr>
                        <w:r>
                          <w:rPr>
                            <w:rFonts w:ascii="Times New Roman"/>
                            <w:b/>
                            <w:sz w:val="21"/>
                          </w:rPr>
                          <w:t>20</w:t>
                        </w:r>
                      </w:p>
                    </w:tc>
                    <w:tc>
                      <w:tcPr>
                        <w:tcW w:w="2278" w:type="dxa"/>
                      </w:tcPr>
                      <w:p>
                        <w:pPr>
                          <w:pStyle w:val="TableParagraph"/>
                          <w:spacing w:before="144"/>
                          <w:ind w:left="227" w:right="228"/>
                          <w:rPr>
                            <w:rFonts w:ascii="Times New Roman"/>
                            <w:sz w:val="21"/>
                          </w:rPr>
                        </w:pPr>
                        <w:r>
                          <w:rPr>
                            <w:rFonts w:ascii="Times New Roman"/>
                            <w:sz w:val="21"/>
                          </w:rPr>
                          <w:t>29</w:t>
                        </w:r>
                      </w:p>
                    </w:tc>
                  </w:tr>
                  <w:tr>
                    <w:trPr>
                      <w:trHeight w:val="398" w:hRule="exact"/>
                    </w:trPr>
                    <w:tc>
                      <w:tcPr>
                        <w:tcW w:w="3682" w:type="dxa"/>
                      </w:tcPr>
                      <w:p>
                        <w:pPr>
                          <w:pStyle w:val="TableParagraph"/>
                          <w:spacing w:before="23"/>
                          <w:ind w:left="242" w:right="240"/>
                          <w:rPr>
                            <w:sz w:val="21"/>
                          </w:rPr>
                        </w:pPr>
                        <w:r>
                          <w:rPr>
                            <w:sz w:val="21"/>
                          </w:rPr>
                          <w:t>20 厘米石灰、碎石基层（7：93）</w:t>
                        </w:r>
                      </w:p>
                    </w:tc>
                    <w:tc>
                      <w:tcPr>
                        <w:tcW w:w="1844" w:type="dxa"/>
                      </w:tcPr>
                      <w:p>
                        <w:pPr>
                          <w:pStyle w:val="TableParagraph"/>
                          <w:spacing w:before="72"/>
                          <w:ind w:left="341" w:right="341"/>
                          <w:rPr>
                            <w:rFonts w:ascii="Times New Roman"/>
                            <w:b/>
                            <w:sz w:val="21"/>
                          </w:rPr>
                        </w:pPr>
                        <w:r>
                          <w:rPr>
                            <w:rFonts w:ascii="Times New Roman"/>
                            <w:b/>
                            <w:sz w:val="21"/>
                          </w:rPr>
                          <w:t>20</w:t>
                        </w:r>
                      </w:p>
                    </w:tc>
                    <w:tc>
                      <w:tcPr>
                        <w:tcW w:w="2278" w:type="dxa"/>
                      </w:tcPr>
                      <w:p>
                        <w:pPr>
                          <w:pStyle w:val="TableParagraph"/>
                          <w:spacing w:before="68"/>
                          <w:ind w:left="228" w:right="227"/>
                          <w:rPr>
                            <w:rFonts w:ascii="Times New Roman"/>
                            <w:sz w:val="21"/>
                          </w:rPr>
                        </w:pPr>
                        <w:r>
                          <w:rPr>
                            <w:rFonts w:ascii="Times New Roman"/>
                            <w:sz w:val="21"/>
                          </w:rPr>
                          <w:t>198.3</w:t>
                        </w:r>
                      </w:p>
                    </w:tc>
                  </w:tr>
                  <w:tr>
                    <w:trPr>
                      <w:trHeight w:val="399" w:hRule="exact"/>
                    </w:trPr>
                    <w:tc>
                      <w:tcPr>
                        <w:tcW w:w="3682" w:type="dxa"/>
                      </w:tcPr>
                      <w:p>
                        <w:pPr>
                          <w:pStyle w:val="TableParagraph"/>
                          <w:spacing w:before="24"/>
                          <w:ind w:left="240" w:right="240"/>
                          <w:rPr>
                            <w:sz w:val="21"/>
                          </w:rPr>
                        </w:pPr>
                        <w:r>
                          <w:rPr>
                            <w:sz w:val="21"/>
                          </w:rPr>
                          <w:t>页岩分层压实</w:t>
                        </w:r>
                      </w:p>
                    </w:tc>
                    <w:tc>
                      <w:tcPr>
                        <w:tcW w:w="1844" w:type="dxa"/>
                      </w:tcPr>
                      <w:p>
                        <w:pPr>
                          <w:pStyle w:val="TableParagraph"/>
                          <w:spacing w:before="24"/>
                          <w:ind w:left="341" w:right="341"/>
                          <w:rPr>
                            <w:b/>
                            <w:sz w:val="21"/>
                          </w:rPr>
                        </w:pPr>
                        <w:r>
                          <w:rPr>
                            <w:b/>
                            <w:sz w:val="21"/>
                          </w:rPr>
                          <w:t>——</w:t>
                        </w:r>
                      </w:p>
                    </w:tc>
                    <w:tc>
                      <w:tcPr>
                        <w:tcW w:w="2278" w:type="dxa"/>
                      </w:tcPr>
                      <w:p>
                        <w:pPr>
                          <w:pStyle w:val="TableParagraph"/>
                          <w:spacing w:before="66"/>
                          <w:ind w:left="228" w:right="227"/>
                          <w:rPr>
                            <w:rFonts w:ascii="Times New Roman"/>
                            <w:sz w:val="21"/>
                          </w:rPr>
                        </w:pPr>
                        <w:r>
                          <w:rPr>
                            <w:rFonts w:ascii="Times New Roman"/>
                            <w:sz w:val="21"/>
                          </w:rPr>
                          <w:t>233</w:t>
                        </w:r>
                      </w:p>
                    </w:tc>
                  </w:tr>
                </w:tbl>
                <w:p>
                  <w:pPr>
                    <w:pStyle w:val="BodyText"/>
                  </w:pPr>
                </w:p>
              </w:txbxContent>
            </v:textbox>
            <w10:wrap type="none"/>
          </v:shape>
        </w:pict>
      </w:r>
      <w:r>
        <w:rPr/>
        <w:t>表</w:t>
      </w:r>
      <w:r>
        <w:rPr>
          <w:spacing w:val="-60"/>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2"/>
        <w:rPr>
          <w:b/>
          <w:sz w:val="29"/>
        </w:rPr>
      </w:pPr>
    </w:p>
    <w:p>
      <w:pPr>
        <w:pStyle w:val="BodyText"/>
        <w:spacing w:line="338" w:lineRule="auto"/>
        <w:ind w:left="218" w:right="231" w:firstLine="479"/>
        <w:jc w:val="both"/>
      </w:pPr>
      <w:r>
        <w:rPr/>
        <w:t>人行道：</w:t>
      </w:r>
      <w:r>
        <w:rPr>
          <w:rFonts w:ascii="Times New Roman" w:eastAsia="Times New Roman"/>
        </w:rPr>
        <w:t>250*500*50mm</w:t>
      </w:r>
      <w:r>
        <w:rPr>
          <w:rFonts w:ascii="Times New Roman" w:eastAsia="Times New Roman"/>
          <w:spacing w:val="-4"/>
        </w:rPr>
        <w:t> </w:t>
      </w:r>
      <w:r>
        <w:rPr/>
        <w:t>条纹面砖</w:t>
      </w:r>
      <w:r>
        <w:rPr>
          <w:rFonts w:ascii="Times New Roman" w:eastAsia="Times New Roman"/>
        </w:rPr>
        <w:t>+60mm</w:t>
      </w:r>
      <w:r>
        <w:rPr>
          <w:rFonts w:ascii="Times New Roman" w:eastAsia="Times New Roman"/>
          <w:spacing w:val="-4"/>
        </w:rPr>
        <w:t> </w:t>
      </w:r>
      <w:r>
        <w:rPr>
          <w:spacing w:val="-33"/>
        </w:rPr>
        <w:t>厚 </w:t>
      </w:r>
      <w:r>
        <w:rPr>
          <w:rFonts w:ascii="Times New Roman" w:eastAsia="Times New Roman"/>
        </w:rPr>
        <w:t>C10</w:t>
      </w:r>
      <w:r>
        <w:rPr>
          <w:rFonts w:ascii="Times New Roman" w:eastAsia="Times New Roman"/>
          <w:spacing w:val="-5"/>
        </w:rPr>
        <w:t> </w:t>
      </w:r>
      <w:r>
        <w:rPr/>
        <w:t>砼垫层</w:t>
      </w:r>
      <w:r>
        <w:rPr>
          <w:rFonts w:ascii="Times New Roman" w:eastAsia="Times New Roman"/>
        </w:rPr>
        <w:t>+50mm</w:t>
      </w:r>
      <w:r>
        <w:rPr>
          <w:rFonts w:ascii="Times New Roman" w:eastAsia="Times New Roman"/>
          <w:spacing w:val="-4"/>
        </w:rPr>
        <w:t> </w:t>
      </w:r>
      <w:r>
        <w:rPr/>
        <w:t>厚填隙碎石层</w:t>
      </w:r>
      <w:r>
        <w:rPr>
          <w:rFonts w:ascii="Times New Roman" w:eastAsia="Times New Roman"/>
        </w:rPr>
        <w:t>+</w:t>
      </w:r>
      <w:r>
        <w:rPr/>
        <w:t>页岩分层压实，同时为了方便残疾人通行，人行道上面层方块转按照无障碍设计设置盲道和无障碍通道。</w:t>
      </w:r>
    </w:p>
    <w:p>
      <w:pPr>
        <w:pStyle w:val="Heading3"/>
        <w:spacing w:before="52"/>
      </w:pPr>
      <w:r>
        <w:rPr>
          <w:rFonts w:ascii="Times New Roman" w:eastAsia="Times New Roman"/>
          <w:w w:val="95"/>
        </w:rPr>
        <w:t>6</w:t>
      </w:r>
      <w:r>
        <w:rPr>
          <w:w w:val="95"/>
        </w:rPr>
        <w:t>、排水工程</w:t>
      </w:r>
    </w:p>
    <w:p>
      <w:pPr>
        <w:pStyle w:val="BodyText"/>
        <w:spacing w:before="135"/>
        <w:ind w:left="698"/>
      </w:pPr>
      <w:r>
        <w:rPr/>
        <w:t>①管线位置</w:t>
      </w:r>
    </w:p>
    <w:p>
      <w:pPr>
        <w:pStyle w:val="BodyText"/>
        <w:spacing w:line="338" w:lineRule="auto" w:before="151"/>
        <w:ind w:left="218" w:right="231" w:firstLine="479"/>
        <w:jc w:val="both"/>
      </w:pPr>
      <w:r>
        <w:rPr>
          <w:spacing w:val="-2"/>
        </w:rPr>
        <w:t>本项目雨、污排水管网采用分流制，道路红线宽 </w:t>
      </w:r>
      <w:r>
        <w:rPr>
          <w:rFonts w:ascii="Times New Roman" w:eastAsia="Times New Roman"/>
        </w:rPr>
        <w:t>16 </w:t>
      </w:r>
      <w:r>
        <w:rPr>
          <w:spacing w:val="-1"/>
        </w:rPr>
        <w:t>米，管道沿道路全线布</w:t>
      </w:r>
      <w:r>
        <w:rPr>
          <w:spacing w:val="-3"/>
        </w:rPr>
        <w:t>置。雨水管布置于道路东西两侧的非机动车道下，距道路中线 </w:t>
      </w:r>
      <w:r>
        <w:rPr>
          <w:rFonts w:ascii="Times New Roman" w:eastAsia="Times New Roman"/>
        </w:rPr>
        <w:t>15~20m</w:t>
      </w:r>
      <w:r>
        <w:rPr/>
        <w:t>，污水管</w:t>
      </w:r>
    </w:p>
    <w:p>
      <w:pPr>
        <w:spacing w:after="0" w:line="338" w:lineRule="auto"/>
        <w:jc w:val="both"/>
        <w:sectPr>
          <w:pgSz w:w="11910" w:h="16850"/>
          <w:pgMar w:header="0" w:footer="1141" w:top="1400" w:bottom="1400" w:left="1580" w:right="1560"/>
        </w:sectPr>
      </w:pPr>
    </w:p>
    <w:p>
      <w:pPr>
        <w:pStyle w:val="BodyText"/>
        <w:spacing w:before="9"/>
        <w:ind w:left="218"/>
      </w:pPr>
      <w:r>
        <w:rPr/>
        <w:pict>
          <v:group style="position:absolute;margin-left:84.253998pt;margin-top:71.749977pt;width:426.95pt;height:698.7pt;mso-position-horizontal-relative:page;mso-position-vertical-relative:page;z-index:-199168"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布置于道路东西两侧，距道路中线 </w:t>
      </w:r>
      <w:r>
        <w:rPr>
          <w:rFonts w:ascii="Times New Roman" w:eastAsia="Times New Roman"/>
        </w:rPr>
        <w:t>5~10m</w:t>
      </w:r>
      <w:r>
        <w:rPr/>
        <w:t>。</w:t>
      </w:r>
    </w:p>
    <w:p>
      <w:pPr>
        <w:pStyle w:val="BodyText"/>
        <w:spacing w:before="136"/>
        <w:ind w:left="698"/>
      </w:pPr>
      <w:r>
        <w:rPr/>
        <w:t>②雨水方案</w:t>
      </w:r>
    </w:p>
    <w:p>
      <w:pPr>
        <w:pStyle w:val="BodyText"/>
        <w:spacing w:line="338" w:lineRule="auto" w:before="151"/>
        <w:ind w:left="218" w:firstLine="479"/>
      </w:pPr>
      <w:r>
        <w:rPr/>
        <w:t>新建雨水管道采用柔性承插接口钢筋混凝土管材，距道路中线 </w:t>
      </w:r>
      <w:r>
        <w:rPr>
          <w:rFonts w:ascii="Times New Roman" w:eastAsia="Times New Roman"/>
        </w:rPr>
        <w:t>15~20m</w:t>
      </w:r>
      <w:r>
        <w:rPr/>
        <w:t>，管径 </w:t>
      </w:r>
      <w:r>
        <w:rPr>
          <w:rFonts w:ascii="Times New Roman" w:eastAsia="Times New Roman"/>
        </w:rPr>
        <w:t>DN600</w:t>
      </w:r>
      <w:r>
        <w:rPr/>
        <w:t>，雨水检查井与雨水检查井采用 </w:t>
      </w:r>
      <w:r>
        <w:rPr>
          <w:rFonts w:ascii="Times New Roman" w:eastAsia="Times New Roman"/>
        </w:rPr>
        <w:t>DN400 </w:t>
      </w:r>
      <w:r>
        <w:rPr/>
        <w:t>钢筋混凝土平口管连接。</w:t>
      </w:r>
    </w:p>
    <w:p>
      <w:pPr>
        <w:pStyle w:val="BodyText"/>
        <w:spacing w:before="23"/>
        <w:ind w:left="698"/>
      </w:pPr>
      <w:r>
        <w:rPr/>
        <w:t>③污水方案</w:t>
      </w:r>
    </w:p>
    <w:p>
      <w:pPr>
        <w:pStyle w:val="BodyText"/>
        <w:spacing w:line="336" w:lineRule="auto" w:before="153"/>
        <w:ind w:left="218" w:right="147" w:firstLine="479"/>
      </w:pPr>
      <w:r>
        <w:rPr/>
        <w:t>新建污水管道采用柔性承插接口钢筋混凝土管材，管径 </w:t>
      </w:r>
      <w:r>
        <w:rPr>
          <w:rFonts w:ascii="Times New Roman" w:eastAsia="Times New Roman"/>
        </w:rPr>
        <w:t>DN400</w:t>
      </w:r>
      <w:r>
        <w:rPr/>
        <w:t>，道路两侧分别预埋用户支管。</w:t>
      </w:r>
    </w:p>
    <w:p>
      <w:pPr>
        <w:pStyle w:val="Heading3"/>
        <w:spacing w:before="57"/>
      </w:pPr>
      <w:r>
        <w:rPr>
          <w:rFonts w:ascii="Times New Roman" w:eastAsia="Times New Roman"/>
          <w:w w:val="95"/>
        </w:rPr>
        <w:t>7</w:t>
      </w:r>
      <w:r>
        <w:rPr>
          <w:w w:val="95"/>
        </w:rPr>
        <w:t>、照明工程</w:t>
      </w:r>
    </w:p>
    <w:p>
      <w:pPr>
        <w:pStyle w:val="BodyText"/>
        <w:spacing w:line="345" w:lineRule="auto" w:before="133"/>
        <w:ind w:left="218" w:right="231" w:firstLine="479"/>
        <w:jc w:val="both"/>
      </w:pPr>
      <w:r>
        <w:rPr>
          <w:spacing w:val="-6"/>
        </w:rPr>
        <w:t>本工程照明系统包括供电、配电线路、照明控制、光源和防雷接地。配电系</w:t>
      </w:r>
      <w:r>
        <w:rPr>
          <w:spacing w:val="-13"/>
        </w:rPr>
        <w:t>统接地形式均采用 </w:t>
      </w:r>
      <w:r>
        <w:rPr>
          <w:rFonts w:ascii="Times New Roman" w:eastAsia="Times New Roman"/>
        </w:rPr>
        <w:t>TN-S </w:t>
      </w:r>
      <w:r>
        <w:rPr>
          <w:spacing w:val="-5"/>
        </w:rPr>
        <w:t>系统。为保证负荷平衡，路灯采用三相间隔供电，电力</w:t>
      </w:r>
      <w:r>
        <w:rPr>
          <w:spacing w:val="-9"/>
        </w:rPr>
        <w:t>电缆直接埋地敷设，埋深不小于 </w:t>
      </w:r>
      <w:r>
        <w:rPr>
          <w:rFonts w:ascii="Times New Roman" w:eastAsia="Times New Roman"/>
        </w:rPr>
        <w:t>0.7m</w:t>
      </w:r>
      <w:r>
        <w:rPr/>
        <w:t>。</w:t>
      </w:r>
    </w:p>
    <w:p>
      <w:pPr>
        <w:pStyle w:val="BodyText"/>
        <w:spacing w:line="338" w:lineRule="auto" w:before="18"/>
        <w:ind w:left="218" w:right="147" w:firstLine="479"/>
      </w:pPr>
      <w:r>
        <w:rPr>
          <w:spacing w:val="-16"/>
        </w:rPr>
        <w:t>沿道路双侧布置，负荷等级为城市三级用电负荷，采用单挑路灯，杆高 </w:t>
      </w:r>
      <w:r>
        <w:rPr>
          <w:rFonts w:ascii="Times New Roman" w:eastAsia="Times New Roman"/>
        </w:rPr>
        <w:t>10m</w:t>
      </w:r>
      <w:r>
        <w:rPr/>
        <w:t>， </w:t>
      </w:r>
      <w:r>
        <w:rPr>
          <w:spacing w:val="-21"/>
        </w:rPr>
        <w:t>臂长 </w:t>
      </w:r>
      <w:r>
        <w:rPr>
          <w:rFonts w:ascii="Times New Roman" w:eastAsia="Times New Roman"/>
        </w:rPr>
        <w:t>1.5m</w:t>
      </w:r>
      <w:r>
        <w:rPr>
          <w:spacing w:val="-11"/>
        </w:rPr>
        <w:t>，灯杆间距 </w:t>
      </w:r>
      <w:r>
        <w:rPr>
          <w:rFonts w:ascii="Times New Roman" w:eastAsia="Times New Roman"/>
        </w:rPr>
        <w:t>25m</w:t>
      </w:r>
      <w:r>
        <w:rPr>
          <w:spacing w:val="-10"/>
        </w:rPr>
        <w:t>，路灯采用 </w:t>
      </w:r>
      <w:r>
        <w:rPr>
          <w:rFonts w:ascii="Times New Roman" w:eastAsia="Times New Roman"/>
        </w:rPr>
        <w:t>LED</w:t>
      </w:r>
      <w:r>
        <w:rPr>
          <w:rFonts w:ascii="Times New Roman" w:eastAsia="Times New Roman"/>
          <w:spacing w:val="-2"/>
        </w:rPr>
        <w:t> </w:t>
      </w:r>
      <w:r>
        <w:rPr/>
        <w:t>灯具。</w:t>
      </w:r>
    </w:p>
    <w:p>
      <w:pPr>
        <w:pStyle w:val="Heading3"/>
        <w:spacing w:before="23"/>
      </w:pPr>
      <w:r>
        <w:rPr>
          <w:rFonts w:ascii="Times New Roman" w:eastAsia="Times New Roman"/>
          <w:w w:val="95"/>
        </w:rPr>
        <w:t>8</w:t>
      </w:r>
      <w:r>
        <w:rPr>
          <w:w w:val="95"/>
        </w:rPr>
        <w:t>、绿化工程</w:t>
      </w:r>
    </w:p>
    <w:p>
      <w:pPr>
        <w:pStyle w:val="BodyText"/>
        <w:spacing w:line="355" w:lineRule="auto" w:before="135"/>
        <w:ind w:left="218" w:right="133" w:firstLine="479"/>
      </w:pPr>
      <w:r>
        <w:rPr/>
        <w:t>本工程在道路两侧防护绿化带，道路两侧种植小乔木、灌木、草皮和花卉， 人行道一侧种植行道树。</w:t>
      </w:r>
    </w:p>
    <w:p>
      <w:pPr>
        <w:pStyle w:val="Heading3"/>
        <w:spacing w:before="38"/>
      </w:pPr>
      <w:r>
        <w:rPr>
          <w:w w:val="95"/>
        </w:rPr>
        <w:t>八、主要原辅料及施工机械</w:t>
      </w:r>
    </w:p>
    <w:p>
      <w:pPr>
        <w:spacing w:before="150"/>
        <w:ind w:left="700" w:right="0" w:firstLine="0"/>
        <w:jc w:val="left"/>
        <w:rPr>
          <w:b/>
          <w:sz w:val="24"/>
        </w:rPr>
      </w:pPr>
      <w:r>
        <w:rPr>
          <w:rFonts w:ascii="Times New Roman" w:eastAsia="Times New Roman"/>
          <w:b/>
          <w:w w:val="95"/>
          <w:sz w:val="24"/>
        </w:rPr>
        <w:t>1</w:t>
      </w:r>
      <w:r>
        <w:rPr>
          <w:b/>
          <w:w w:val="95"/>
          <w:sz w:val="24"/>
        </w:rPr>
        <w:t>、施工原辅材料用量及能耗</w:t>
      </w:r>
    </w:p>
    <w:p>
      <w:pPr>
        <w:pStyle w:val="BodyText"/>
        <w:spacing w:line="355" w:lineRule="auto" w:before="135"/>
        <w:ind w:left="218" w:right="133" w:firstLine="479"/>
      </w:pPr>
      <w:r>
        <w:rPr/>
        <w:t>施工期主要原辅材料为水泥、钢材、木材、沥青、石料等，均外购。项目周边运输条件良好，本项目不单独设置取料场。</w:t>
      </w:r>
    </w:p>
    <w:p>
      <w:pPr>
        <w:pStyle w:val="BodyText"/>
        <w:spacing w:before="38"/>
        <w:ind w:left="698"/>
      </w:pPr>
      <w:r>
        <w:rPr/>
        <w:t>本项目工程材料数量见下表。</w:t>
      </w:r>
    </w:p>
    <w:p>
      <w:pPr>
        <w:pStyle w:val="Heading3"/>
        <w:tabs>
          <w:tab w:pos="2755" w:val="left" w:leader="none"/>
        </w:tabs>
        <w:spacing w:before="150"/>
        <w:ind w:left="1893"/>
      </w:pPr>
      <w:r>
        <w:rPr/>
        <w:t>表</w:t>
      </w:r>
      <w:r>
        <w:rPr>
          <w:spacing w:val="-60"/>
        </w:rPr>
        <w:t> </w:t>
      </w:r>
      <w:r>
        <w:rPr>
          <w:rFonts w:ascii="Times New Roman" w:eastAsia="Times New Roman"/>
        </w:rPr>
        <w:t>1-7</w:t>
        <w:tab/>
      </w:r>
      <w:r>
        <w:rPr>
          <w:w w:val="95"/>
        </w:rPr>
        <w:t>项目施工期原辅材料用量及能耗估算表</w:t>
      </w:r>
    </w:p>
    <w:p>
      <w:pPr>
        <w:pStyle w:val="BodyText"/>
        <w:spacing w:before="5"/>
        <w:rPr>
          <w:b/>
          <w:sz w:val="13"/>
        </w:rPr>
      </w:pPr>
    </w:p>
    <w:tbl>
      <w:tblPr>
        <w:tblW w:w="0" w:type="auto"/>
        <w:jc w:val="left"/>
        <w:tblInd w:w="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01"/>
        <w:gridCol w:w="2024"/>
        <w:gridCol w:w="1688"/>
        <w:gridCol w:w="1351"/>
        <w:gridCol w:w="1349"/>
      </w:tblGrid>
      <w:tr>
        <w:trPr>
          <w:trHeight w:val="250" w:hRule="exact"/>
        </w:trPr>
        <w:tc>
          <w:tcPr>
            <w:tcW w:w="1301" w:type="dxa"/>
          </w:tcPr>
          <w:p>
            <w:pPr>
              <w:pStyle w:val="TableParagraph"/>
              <w:spacing w:line="222" w:lineRule="exact"/>
              <w:ind w:left="415" w:right="415"/>
              <w:rPr>
                <w:sz w:val="21"/>
              </w:rPr>
            </w:pPr>
            <w:r>
              <w:rPr>
                <w:sz w:val="21"/>
              </w:rPr>
              <w:t>类型</w:t>
            </w:r>
          </w:p>
        </w:tc>
        <w:tc>
          <w:tcPr>
            <w:tcW w:w="2024" w:type="dxa"/>
          </w:tcPr>
          <w:p>
            <w:pPr>
              <w:pStyle w:val="TableParagraph"/>
              <w:spacing w:line="222" w:lineRule="exact"/>
              <w:ind w:left="464" w:right="459"/>
              <w:rPr>
                <w:sz w:val="21"/>
              </w:rPr>
            </w:pPr>
            <w:r>
              <w:rPr>
                <w:sz w:val="21"/>
              </w:rPr>
              <w:t>材料名称</w:t>
            </w:r>
          </w:p>
        </w:tc>
        <w:tc>
          <w:tcPr>
            <w:tcW w:w="1688" w:type="dxa"/>
          </w:tcPr>
          <w:p>
            <w:pPr>
              <w:pStyle w:val="TableParagraph"/>
              <w:spacing w:line="222" w:lineRule="exact"/>
              <w:ind w:left="609" w:right="608"/>
              <w:rPr>
                <w:sz w:val="21"/>
              </w:rPr>
            </w:pPr>
            <w:r>
              <w:rPr>
                <w:sz w:val="21"/>
              </w:rPr>
              <w:t>单位</w:t>
            </w:r>
          </w:p>
        </w:tc>
        <w:tc>
          <w:tcPr>
            <w:tcW w:w="1351" w:type="dxa"/>
          </w:tcPr>
          <w:p>
            <w:pPr>
              <w:pStyle w:val="TableParagraph"/>
              <w:spacing w:line="222" w:lineRule="exact"/>
              <w:ind w:right="350"/>
              <w:jc w:val="right"/>
              <w:rPr>
                <w:sz w:val="21"/>
              </w:rPr>
            </w:pPr>
            <w:r>
              <w:rPr>
                <w:sz w:val="21"/>
              </w:rPr>
              <w:t>总耗量</w:t>
            </w:r>
          </w:p>
        </w:tc>
        <w:tc>
          <w:tcPr>
            <w:tcW w:w="1349" w:type="dxa"/>
          </w:tcPr>
          <w:p>
            <w:pPr>
              <w:pStyle w:val="TableParagraph"/>
              <w:spacing w:line="222" w:lineRule="exact"/>
              <w:ind w:left="229" w:right="229"/>
              <w:rPr>
                <w:sz w:val="21"/>
              </w:rPr>
            </w:pPr>
            <w:r>
              <w:rPr>
                <w:sz w:val="21"/>
              </w:rPr>
              <w:t>来源</w:t>
            </w:r>
          </w:p>
        </w:tc>
      </w:tr>
      <w:tr>
        <w:trPr>
          <w:trHeight w:val="250" w:hRule="exact"/>
        </w:trPr>
        <w:tc>
          <w:tcPr>
            <w:tcW w:w="1301" w:type="dxa"/>
            <w:vMerge w:val="restart"/>
          </w:tcPr>
          <w:p>
            <w:pPr>
              <w:pStyle w:val="TableParagraph"/>
              <w:jc w:val="left"/>
              <w:rPr>
                <w:b/>
                <w:sz w:val="20"/>
              </w:rPr>
            </w:pPr>
          </w:p>
          <w:p>
            <w:pPr>
              <w:pStyle w:val="TableParagraph"/>
              <w:spacing w:before="12"/>
              <w:jc w:val="left"/>
              <w:rPr>
                <w:b/>
                <w:sz w:val="23"/>
              </w:rPr>
            </w:pPr>
          </w:p>
          <w:p>
            <w:pPr>
              <w:pStyle w:val="TableParagraph"/>
              <w:spacing w:before="1"/>
              <w:ind w:left="100"/>
              <w:jc w:val="left"/>
              <w:rPr>
                <w:sz w:val="21"/>
              </w:rPr>
            </w:pPr>
            <w:r>
              <w:rPr>
                <w:sz w:val="21"/>
              </w:rPr>
              <w:t>本地购买</w:t>
            </w:r>
          </w:p>
        </w:tc>
        <w:tc>
          <w:tcPr>
            <w:tcW w:w="2024" w:type="dxa"/>
          </w:tcPr>
          <w:p>
            <w:pPr>
              <w:pStyle w:val="TableParagraph"/>
              <w:spacing w:line="222" w:lineRule="exact"/>
              <w:ind w:left="464" w:right="459"/>
              <w:rPr>
                <w:sz w:val="21"/>
              </w:rPr>
            </w:pPr>
            <w:r>
              <w:rPr>
                <w:sz w:val="21"/>
              </w:rPr>
              <w:t>沥青混凝土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750</w:t>
            </w:r>
          </w:p>
        </w:tc>
        <w:tc>
          <w:tcPr>
            <w:tcW w:w="1349" w:type="dxa"/>
            <w:vMerge w:val="restart"/>
          </w:tcPr>
          <w:p>
            <w:pPr>
              <w:pStyle w:val="TableParagraph"/>
              <w:jc w:val="left"/>
              <w:rPr>
                <w:b/>
                <w:sz w:val="20"/>
              </w:rPr>
            </w:pPr>
          </w:p>
          <w:p>
            <w:pPr>
              <w:pStyle w:val="TableParagraph"/>
              <w:spacing w:before="12"/>
              <w:jc w:val="left"/>
              <w:rPr>
                <w:b/>
                <w:sz w:val="23"/>
              </w:rPr>
            </w:pPr>
          </w:p>
          <w:p>
            <w:pPr>
              <w:pStyle w:val="TableParagraph"/>
              <w:spacing w:before="1"/>
              <w:ind w:left="103"/>
              <w:jc w:val="left"/>
              <w:rPr>
                <w:sz w:val="21"/>
              </w:rPr>
            </w:pPr>
            <w:r>
              <w:rPr>
                <w:sz w:val="21"/>
              </w:rPr>
              <w:t>原（辅）料</w:t>
            </w: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546</w:t>
            </w:r>
          </w:p>
        </w:tc>
        <w:tc>
          <w:tcPr>
            <w:tcW w:w="1349" w:type="dxa"/>
            <w:vMerge/>
          </w:tcPr>
          <w:p>
            <w:pPr/>
          </w:p>
        </w:tc>
      </w:tr>
      <w:tr>
        <w:trPr>
          <w:trHeight w:val="252" w:hRule="exact"/>
        </w:trPr>
        <w:tc>
          <w:tcPr>
            <w:tcW w:w="1301" w:type="dxa"/>
            <w:vMerge/>
          </w:tcPr>
          <w:p>
            <w:pPr/>
          </w:p>
        </w:tc>
        <w:tc>
          <w:tcPr>
            <w:tcW w:w="2024" w:type="dxa"/>
          </w:tcPr>
          <w:p>
            <w:pPr>
              <w:pStyle w:val="TableParagraph"/>
              <w:spacing w:line="224" w:lineRule="exact"/>
              <w:ind w:left="461" w:right="459"/>
              <w:rPr>
                <w:sz w:val="21"/>
              </w:rPr>
            </w:pPr>
            <w:r>
              <w:rPr>
                <w:sz w:val="21"/>
              </w:rPr>
              <w:t>砂砾石</w:t>
            </w:r>
          </w:p>
        </w:tc>
        <w:tc>
          <w:tcPr>
            <w:tcW w:w="1688" w:type="dxa"/>
          </w:tcPr>
          <w:p>
            <w:pPr>
              <w:pStyle w:val="TableParagraph"/>
              <w:spacing w:line="239"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40" w:lineRule="exact"/>
              <w:ind w:left="441" w:right="439"/>
              <w:rPr>
                <w:rFonts w:ascii="Times New Roman"/>
                <w:sz w:val="21"/>
              </w:rPr>
            </w:pPr>
            <w:r>
              <w:rPr>
                <w:rFonts w:ascii="Times New Roman"/>
                <w:sz w:val="21"/>
              </w:rPr>
              <w:t>2840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钢筋</w:t>
            </w:r>
          </w:p>
        </w:tc>
        <w:tc>
          <w:tcPr>
            <w:tcW w:w="1688" w:type="dxa"/>
          </w:tcPr>
          <w:p>
            <w:pPr>
              <w:pStyle w:val="TableParagraph"/>
              <w:spacing w:line="237" w:lineRule="exact"/>
              <w:ind w:left="3"/>
              <w:rPr>
                <w:rFonts w:ascii="Times New Roman"/>
                <w:sz w:val="21"/>
              </w:rPr>
            </w:pPr>
            <w:r>
              <w:rPr>
                <w:rFonts w:ascii="Times New Roman"/>
                <w:w w:val="100"/>
                <w:sz w:val="21"/>
              </w:rPr>
              <w:t>t</w:t>
            </w:r>
          </w:p>
        </w:tc>
        <w:tc>
          <w:tcPr>
            <w:tcW w:w="1351" w:type="dxa"/>
          </w:tcPr>
          <w:p>
            <w:pPr>
              <w:pStyle w:val="TableParagraph"/>
              <w:spacing w:line="237" w:lineRule="exact"/>
              <w:ind w:left="439" w:right="439"/>
              <w:rPr>
                <w:rFonts w:ascii="Times New Roman"/>
                <w:sz w:val="21"/>
              </w:rPr>
            </w:pPr>
            <w:r>
              <w:rPr>
                <w:rFonts w:ascii="Times New Roman"/>
                <w:sz w:val="21"/>
              </w:rPr>
              <w:t>10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碎石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5680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木材</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2</w:t>
            </w:r>
          </w:p>
        </w:tc>
        <w:tc>
          <w:tcPr>
            <w:tcW w:w="1351" w:type="dxa"/>
          </w:tcPr>
          <w:p>
            <w:pPr>
              <w:pStyle w:val="TableParagraph"/>
              <w:spacing w:line="237" w:lineRule="exact"/>
              <w:ind w:left="441" w:right="439"/>
              <w:rPr>
                <w:rFonts w:ascii="Times New Roman"/>
                <w:sz w:val="21"/>
              </w:rPr>
            </w:pPr>
            <w:r>
              <w:rPr>
                <w:rFonts w:ascii="Times New Roman"/>
                <w:sz w:val="21"/>
              </w:rPr>
              <w:t>300</w:t>
            </w:r>
          </w:p>
        </w:tc>
        <w:tc>
          <w:tcPr>
            <w:tcW w:w="1349" w:type="dxa"/>
            <w:vMerge/>
          </w:tcPr>
          <w:p>
            <w:pPr/>
          </w:p>
        </w:tc>
      </w:tr>
      <w:tr>
        <w:trPr>
          <w:trHeight w:val="283" w:hRule="exact"/>
        </w:trPr>
        <w:tc>
          <w:tcPr>
            <w:tcW w:w="1301" w:type="dxa"/>
            <w:vMerge w:val="restart"/>
          </w:tcPr>
          <w:p>
            <w:pPr>
              <w:pStyle w:val="TableParagraph"/>
              <w:spacing w:before="11"/>
              <w:jc w:val="left"/>
              <w:rPr>
                <w:b/>
                <w:sz w:val="18"/>
              </w:rPr>
            </w:pPr>
          </w:p>
          <w:p>
            <w:pPr>
              <w:pStyle w:val="TableParagraph"/>
              <w:ind w:left="415" w:right="415"/>
              <w:rPr>
                <w:sz w:val="21"/>
              </w:rPr>
            </w:pPr>
            <w:r>
              <w:rPr>
                <w:sz w:val="21"/>
              </w:rPr>
              <w:t>能源</w:t>
            </w:r>
          </w:p>
        </w:tc>
        <w:tc>
          <w:tcPr>
            <w:tcW w:w="2024" w:type="dxa"/>
          </w:tcPr>
          <w:p>
            <w:pPr>
              <w:pStyle w:val="TableParagraph"/>
              <w:spacing w:line="241" w:lineRule="exact"/>
              <w:ind w:left="2"/>
              <w:rPr>
                <w:sz w:val="21"/>
              </w:rPr>
            </w:pPr>
            <w:r>
              <w:rPr>
                <w:w w:val="100"/>
                <w:sz w:val="21"/>
              </w:rPr>
              <w:t>电</w:t>
            </w:r>
          </w:p>
        </w:tc>
        <w:tc>
          <w:tcPr>
            <w:tcW w:w="1688" w:type="dxa"/>
          </w:tcPr>
          <w:p>
            <w:pPr>
              <w:pStyle w:val="TableParagraph"/>
              <w:spacing w:before="10"/>
              <w:ind w:left="609" w:right="605"/>
              <w:rPr>
                <w:rFonts w:ascii="Times New Roman"/>
                <w:sz w:val="21"/>
              </w:rPr>
            </w:pPr>
            <w:r>
              <w:rPr>
                <w:rFonts w:ascii="Times New Roman"/>
                <w:sz w:val="21"/>
              </w:rPr>
              <w:t>kW</w:t>
            </w:r>
          </w:p>
        </w:tc>
        <w:tc>
          <w:tcPr>
            <w:tcW w:w="1351" w:type="dxa"/>
          </w:tcPr>
          <w:p>
            <w:pPr>
              <w:pStyle w:val="TableParagraph"/>
              <w:spacing w:before="12"/>
              <w:ind w:right="403"/>
              <w:jc w:val="right"/>
              <w:rPr>
                <w:rFonts w:ascii="Times New Roman"/>
                <w:sz w:val="21"/>
              </w:rPr>
            </w:pPr>
            <w:r>
              <w:rPr>
                <w:rFonts w:ascii="Times New Roman"/>
                <w:sz w:val="21"/>
              </w:rPr>
              <w:t>87000</w:t>
            </w:r>
          </w:p>
        </w:tc>
        <w:tc>
          <w:tcPr>
            <w:tcW w:w="1349" w:type="dxa"/>
          </w:tcPr>
          <w:p>
            <w:pPr>
              <w:pStyle w:val="TableParagraph"/>
              <w:spacing w:line="238" w:lineRule="exact"/>
              <w:ind w:left="230" w:right="229"/>
              <w:rPr>
                <w:sz w:val="21"/>
              </w:rPr>
            </w:pPr>
            <w:r>
              <w:rPr>
                <w:sz w:val="21"/>
              </w:rPr>
              <w:t>当地电网</w:t>
            </w:r>
          </w:p>
        </w:tc>
      </w:tr>
      <w:tr>
        <w:trPr>
          <w:trHeight w:val="281" w:hRule="exact"/>
        </w:trPr>
        <w:tc>
          <w:tcPr>
            <w:tcW w:w="1301" w:type="dxa"/>
            <w:vMerge/>
          </w:tcPr>
          <w:p>
            <w:pPr/>
          </w:p>
        </w:tc>
        <w:tc>
          <w:tcPr>
            <w:tcW w:w="2024" w:type="dxa"/>
          </w:tcPr>
          <w:p>
            <w:pPr>
              <w:pStyle w:val="TableParagraph"/>
              <w:spacing w:line="241" w:lineRule="exact"/>
              <w:ind w:left="461" w:right="459"/>
              <w:rPr>
                <w:sz w:val="21"/>
              </w:rPr>
            </w:pPr>
            <w:r>
              <w:rPr>
                <w:sz w:val="21"/>
              </w:rPr>
              <w:t>汽油</w:t>
            </w:r>
          </w:p>
        </w:tc>
        <w:tc>
          <w:tcPr>
            <w:tcW w:w="1688" w:type="dxa"/>
          </w:tcPr>
          <w:p>
            <w:pPr>
              <w:pStyle w:val="TableParagraph"/>
              <w:spacing w:before="8"/>
              <w:ind w:left="3"/>
              <w:rPr>
                <w:rFonts w:ascii="Times New Roman"/>
                <w:sz w:val="21"/>
              </w:rPr>
            </w:pPr>
            <w:r>
              <w:rPr>
                <w:rFonts w:ascii="Times New Roman"/>
                <w:w w:val="100"/>
                <w:sz w:val="21"/>
              </w:rPr>
              <w:t>t</w:t>
            </w:r>
          </w:p>
        </w:tc>
        <w:tc>
          <w:tcPr>
            <w:tcW w:w="1351" w:type="dxa"/>
          </w:tcPr>
          <w:p>
            <w:pPr>
              <w:pStyle w:val="TableParagraph"/>
              <w:spacing w:before="8"/>
              <w:rPr>
                <w:rFonts w:ascii="Times New Roman"/>
                <w:sz w:val="21"/>
              </w:rPr>
            </w:pPr>
            <w:r>
              <w:rPr>
                <w:rFonts w:ascii="Times New Roman"/>
                <w:w w:val="100"/>
                <w:sz w:val="21"/>
              </w:rPr>
              <w:t>1</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vMerge/>
          </w:tcPr>
          <w:p>
            <w:pPr/>
          </w:p>
        </w:tc>
        <w:tc>
          <w:tcPr>
            <w:tcW w:w="2024" w:type="dxa"/>
          </w:tcPr>
          <w:p>
            <w:pPr>
              <w:pStyle w:val="TableParagraph"/>
              <w:spacing w:line="241" w:lineRule="exact"/>
              <w:ind w:left="461" w:right="459"/>
              <w:rPr>
                <w:sz w:val="21"/>
              </w:rPr>
            </w:pPr>
            <w:r>
              <w:rPr>
                <w:sz w:val="21"/>
              </w:rPr>
              <w:t>柴油</w:t>
            </w:r>
          </w:p>
        </w:tc>
        <w:tc>
          <w:tcPr>
            <w:tcW w:w="1688" w:type="dxa"/>
          </w:tcPr>
          <w:p>
            <w:pPr>
              <w:pStyle w:val="TableParagraph"/>
              <w:spacing w:before="10"/>
              <w:ind w:left="3"/>
              <w:rPr>
                <w:rFonts w:ascii="Times New Roman"/>
                <w:sz w:val="21"/>
              </w:rPr>
            </w:pPr>
            <w:r>
              <w:rPr>
                <w:rFonts w:ascii="Times New Roman"/>
                <w:w w:val="100"/>
                <w:sz w:val="21"/>
              </w:rPr>
              <w:t>t</w:t>
            </w:r>
          </w:p>
        </w:tc>
        <w:tc>
          <w:tcPr>
            <w:tcW w:w="1351" w:type="dxa"/>
          </w:tcPr>
          <w:p>
            <w:pPr>
              <w:pStyle w:val="TableParagraph"/>
              <w:spacing w:before="10"/>
              <w:ind w:left="439" w:right="439"/>
              <w:rPr>
                <w:rFonts w:ascii="Times New Roman"/>
                <w:sz w:val="21"/>
              </w:rPr>
            </w:pPr>
            <w:r>
              <w:rPr>
                <w:rFonts w:ascii="Times New Roman"/>
                <w:sz w:val="21"/>
              </w:rPr>
              <w:t>26</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tcPr>
          <w:p>
            <w:pPr>
              <w:pStyle w:val="TableParagraph"/>
              <w:spacing w:line="238" w:lineRule="exact"/>
              <w:ind w:right="2"/>
              <w:rPr>
                <w:sz w:val="21"/>
              </w:rPr>
            </w:pPr>
            <w:r>
              <w:rPr>
                <w:w w:val="100"/>
                <w:sz w:val="21"/>
              </w:rPr>
              <w:t>水</w:t>
            </w:r>
          </w:p>
        </w:tc>
        <w:tc>
          <w:tcPr>
            <w:tcW w:w="2024" w:type="dxa"/>
          </w:tcPr>
          <w:p>
            <w:pPr>
              <w:pStyle w:val="TableParagraph"/>
              <w:spacing w:line="241" w:lineRule="exact"/>
              <w:ind w:left="461" w:right="459"/>
              <w:rPr>
                <w:sz w:val="21"/>
              </w:rPr>
            </w:pPr>
            <w:r>
              <w:rPr>
                <w:sz w:val="21"/>
              </w:rPr>
              <w:t>地表水</w:t>
            </w:r>
          </w:p>
        </w:tc>
        <w:tc>
          <w:tcPr>
            <w:tcW w:w="1688" w:type="dxa"/>
          </w:tcPr>
          <w:p>
            <w:pPr>
              <w:pStyle w:val="TableParagraph"/>
              <w:spacing w:line="253"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before="12"/>
              <w:ind w:right="403"/>
              <w:jc w:val="right"/>
              <w:rPr>
                <w:rFonts w:ascii="Times New Roman"/>
                <w:sz w:val="21"/>
              </w:rPr>
            </w:pPr>
            <w:r>
              <w:rPr>
                <w:rFonts w:ascii="Times New Roman"/>
                <w:sz w:val="21"/>
              </w:rPr>
              <w:t>25460</w:t>
            </w:r>
          </w:p>
        </w:tc>
        <w:tc>
          <w:tcPr>
            <w:tcW w:w="1349" w:type="dxa"/>
          </w:tcPr>
          <w:p>
            <w:pPr>
              <w:pStyle w:val="TableParagraph"/>
              <w:spacing w:line="238" w:lineRule="exact"/>
              <w:ind w:left="229" w:right="229"/>
              <w:rPr>
                <w:sz w:val="21"/>
              </w:rPr>
            </w:pPr>
            <w:r>
              <w:rPr>
                <w:sz w:val="21"/>
              </w:rPr>
              <w:t>新宁河</w:t>
            </w:r>
          </w:p>
        </w:tc>
      </w:tr>
    </w:tbl>
    <w:p>
      <w:pPr>
        <w:pStyle w:val="BodyText"/>
        <w:spacing w:before="6"/>
        <w:rPr>
          <w:b/>
          <w:sz w:val="28"/>
        </w:rPr>
      </w:pPr>
    </w:p>
    <w:p>
      <w:pPr>
        <w:spacing w:before="0"/>
        <w:ind w:left="700" w:right="0" w:firstLine="0"/>
        <w:jc w:val="left"/>
        <w:rPr>
          <w:b/>
          <w:sz w:val="24"/>
        </w:rPr>
      </w:pPr>
      <w:r>
        <w:rPr>
          <w:rFonts w:ascii="Times New Roman" w:eastAsia="Times New Roman"/>
          <w:b/>
          <w:w w:val="95"/>
          <w:sz w:val="24"/>
        </w:rPr>
        <w:t>2</w:t>
      </w:r>
      <w:r>
        <w:rPr>
          <w:b/>
          <w:w w:val="95"/>
          <w:sz w:val="24"/>
        </w:rPr>
        <w:t>、主要施工机械</w:t>
      </w:r>
    </w:p>
    <w:p>
      <w:pPr>
        <w:spacing w:after="0"/>
        <w:jc w:val="left"/>
        <w:rPr>
          <w:sz w:val="24"/>
        </w:rPr>
        <w:sectPr>
          <w:pgSz w:w="11910" w:h="16850"/>
          <w:pgMar w:header="0" w:footer="1141" w:top="1400" w:bottom="1400" w:left="1580" w:right="1560"/>
        </w:sectPr>
      </w:pPr>
    </w:p>
    <w:p>
      <w:pPr>
        <w:pStyle w:val="BodyText"/>
        <w:spacing w:before="9"/>
        <w:ind w:left="698"/>
      </w:pPr>
      <w:r>
        <w:rPr/>
        <w:pict>
          <v:group style="position:absolute;margin-left:84.014pt;margin-top:71.749977pt;width:427.45pt;height:689.2pt;mso-position-horizontal-relative:page;mso-position-vertical-relative:page;z-index:-199144" coordorigin="1680,1435" coordsize="8549,13784">
            <v:line style="position:absolute" from="1695,1445" to="10214,1445" stroked="true" strokeweight=".48pt" strokecolor="#000000">
              <v:stroke dashstyle="solid"/>
            </v:line>
            <v:line style="position:absolute" from="1690,1440" to="1690,15209" stroked="true" strokeweight=".48pt" strokecolor="#000000">
              <v:stroke dashstyle="solid"/>
            </v:line>
            <v:line style="position:absolute" from="1685,15214" to="1695,15214" stroked="true" strokeweight=".47998pt" strokecolor="#000000">
              <v:stroke dashstyle="solid"/>
            </v:line>
            <v:line style="position:absolute" from="1685,15214" to="1695,15214" stroked="true" strokeweight=".47998pt" strokecolor="#000000">
              <v:stroke dashstyle="solid"/>
            </v:line>
            <v:line style="position:absolute" from="1695,15214" to="10214,15214" stroked="true" strokeweight=".47998pt" strokecolor="#000000">
              <v:stroke dashstyle="solid"/>
            </v:line>
            <v:line style="position:absolute" from="10219,1440" to="10219,15209" stroked="true" strokeweight=".47998pt" strokecolor="#000000">
              <v:stroke dashstyle="solid"/>
            </v:line>
            <v:line style="position:absolute" from="10214,15214" to="10224,15214" stroked="true" strokeweight=".47998pt" strokecolor="#000000">
              <v:stroke dashstyle="solid"/>
            </v:line>
            <v:line style="position:absolute" from="10214,15214" to="10224,15214" stroked="true" strokeweight=".47998pt" strokecolor="#000000">
              <v:stroke dashstyle="solid"/>
            </v:line>
            <w10:wrap type="none"/>
          </v:group>
        </w:pict>
      </w:r>
      <w:r>
        <w:rPr/>
        <w:t>本项目施工期主要机械设备见表 </w:t>
      </w:r>
      <w:r>
        <w:rPr>
          <w:rFonts w:ascii="Times New Roman" w:eastAsia="Times New Roman"/>
        </w:rPr>
        <w:t>1-8</w:t>
      </w:r>
      <w:r>
        <w:rPr/>
        <w:t>。</w:t>
      </w:r>
    </w:p>
    <w:p>
      <w:pPr>
        <w:pStyle w:val="Heading3"/>
        <w:tabs>
          <w:tab w:pos="3477" w:val="left" w:leader="none"/>
        </w:tabs>
        <w:spacing w:before="136"/>
        <w:ind w:left="2616"/>
      </w:pPr>
      <w:r>
        <w:rPr/>
        <w:pict>
          <v:shape style="position:absolute;margin-left:89.903999pt;margin-top:32.095638pt;width:402.6pt;height:197.7pt;mso-position-horizontal-relative:page;mso-position-vertical-relative:paragraph;z-index:131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8"/>
                    <w:gridCol w:w="2105"/>
                    <w:gridCol w:w="1841"/>
                    <w:gridCol w:w="744"/>
                    <w:gridCol w:w="1858"/>
                  </w:tblGrid>
                  <w:tr>
                    <w:trPr>
                      <w:trHeight w:val="554" w:hRule="exact"/>
                    </w:trPr>
                    <w:tc>
                      <w:tcPr>
                        <w:tcW w:w="1488" w:type="dxa"/>
                      </w:tcPr>
                      <w:p>
                        <w:pPr>
                          <w:pStyle w:val="TableParagraph"/>
                          <w:spacing w:line="241" w:lineRule="exact"/>
                          <w:ind w:left="319"/>
                          <w:jc w:val="left"/>
                          <w:rPr>
                            <w:sz w:val="21"/>
                          </w:rPr>
                        </w:pPr>
                        <w:r>
                          <w:rPr>
                            <w:sz w:val="21"/>
                          </w:rPr>
                          <w:t>施工阶段</w:t>
                        </w:r>
                      </w:p>
                    </w:tc>
                    <w:tc>
                      <w:tcPr>
                        <w:tcW w:w="2105" w:type="dxa"/>
                      </w:tcPr>
                      <w:p>
                        <w:pPr>
                          <w:pStyle w:val="TableParagraph"/>
                          <w:spacing w:line="241" w:lineRule="exact"/>
                          <w:ind w:left="186" w:right="188"/>
                          <w:rPr>
                            <w:sz w:val="21"/>
                          </w:rPr>
                        </w:pPr>
                        <w:r>
                          <w:rPr>
                            <w:sz w:val="21"/>
                          </w:rPr>
                          <w:t>机械类型</w:t>
                        </w:r>
                      </w:p>
                    </w:tc>
                    <w:tc>
                      <w:tcPr>
                        <w:tcW w:w="1841" w:type="dxa"/>
                      </w:tcPr>
                      <w:p>
                        <w:pPr>
                          <w:pStyle w:val="TableParagraph"/>
                          <w:spacing w:line="241" w:lineRule="exact"/>
                          <w:ind w:left="108" w:right="107"/>
                          <w:rPr>
                            <w:sz w:val="21"/>
                          </w:rPr>
                        </w:pPr>
                        <w:r>
                          <w:rPr>
                            <w:sz w:val="21"/>
                          </w:rPr>
                          <w:t>型号</w:t>
                        </w:r>
                      </w:p>
                    </w:tc>
                    <w:tc>
                      <w:tcPr>
                        <w:tcW w:w="744" w:type="dxa"/>
                      </w:tcPr>
                      <w:p>
                        <w:pPr>
                          <w:pStyle w:val="TableParagraph"/>
                          <w:spacing w:line="241" w:lineRule="exact"/>
                          <w:ind w:left="137" w:right="137"/>
                          <w:rPr>
                            <w:sz w:val="21"/>
                          </w:rPr>
                        </w:pPr>
                        <w:r>
                          <w:rPr>
                            <w:sz w:val="21"/>
                          </w:rPr>
                          <w:t>数量</w:t>
                        </w:r>
                      </w:p>
                    </w:tc>
                    <w:tc>
                      <w:tcPr>
                        <w:tcW w:w="1858" w:type="dxa"/>
                      </w:tcPr>
                      <w:p>
                        <w:pPr>
                          <w:pStyle w:val="TableParagraph"/>
                          <w:spacing w:line="240" w:lineRule="exact"/>
                          <w:ind w:left="108" w:right="108"/>
                          <w:rPr>
                            <w:sz w:val="21"/>
                          </w:rPr>
                        </w:pPr>
                        <w:r>
                          <w:rPr>
                            <w:sz w:val="21"/>
                          </w:rPr>
                          <w:t>噪声源强值</w:t>
                        </w:r>
                      </w:p>
                      <w:p>
                        <w:pPr>
                          <w:pStyle w:val="TableParagraph"/>
                          <w:spacing w:line="290" w:lineRule="exact"/>
                          <w:ind w:left="108" w:right="108"/>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r>
                  <w:tr>
                    <w:trPr>
                      <w:trHeight w:val="283" w:hRule="exact"/>
                    </w:trPr>
                    <w:tc>
                      <w:tcPr>
                        <w:tcW w:w="1488" w:type="dxa"/>
                        <w:vMerge w:val="restart"/>
                      </w:tcPr>
                      <w:p>
                        <w:pPr>
                          <w:pStyle w:val="TableParagraph"/>
                          <w:spacing w:line="243" w:lineRule="exact"/>
                          <w:ind w:left="422"/>
                          <w:jc w:val="left"/>
                          <w:rPr>
                            <w:sz w:val="21"/>
                          </w:rPr>
                        </w:pPr>
                        <w:r>
                          <w:rPr>
                            <w:sz w:val="21"/>
                          </w:rPr>
                          <w:t>土石方</w:t>
                        </w:r>
                      </w:p>
                    </w:tc>
                    <w:tc>
                      <w:tcPr>
                        <w:tcW w:w="2105" w:type="dxa"/>
                      </w:tcPr>
                      <w:p>
                        <w:pPr>
                          <w:pStyle w:val="TableParagraph"/>
                          <w:spacing w:line="243" w:lineRule="exact"/>
                          <w:ind w:left="186" w:right="188"/>
                          <w:rPr>
                            <w:sz w:val="21"/>
                          </w:rPr>
                        </w:pPr>
                        <w:r>
                          <w:rPr>
                            <w:sz w:val="21"/>
                          </w:rPr>
                          <w:t>轮式装载机</w:t>
                        </w:r>
                      </w:p>
                    </w:tc>
                    <w:tc>
                      <w:tcPr>
                        <w:tcW w:w="1841" w:type="dxa"/>
                      </w:tcPr>
                      <w:p>
                        <w:pPr>
                          <w:pStyle w:val="TableParagraph"/>
                          <w:spacing w:line="259" w:lineRule="exact"/>
                          <w:ind w:left="108" w:right="106"/>
                          <w:rPr>
                            <w:sz w:val="21"/>
                          </w:rPr>
                        </w:pPr>
                        <w:r>
                          <w:rPr>
                            <w:rFonts w:ascii="Times New Roman" w:eastAsia="Times New Roman"/>
                            <w:sz w:val="21"/>
                          </w:rPr>
                          <w:t>ZL40 </w:t>
                        </w:r>
                        <w:r>
                          <w:rPr>
                            <w:sz w:val="21"/>
                          </w:rPr>
                          <w:t>型</w:t>
                        </w:r>
                      </w:p>
                    </w:tc>
                    <w:tc>
                      <w:tcPr>
                        <w:tcW w:w="744" w:type="dxa"/>
                      </w:tcPr>
                      <w:p>
                        <w:pPr>
                          <w:pStyle w:val="TableParagraph"/>
                          <w:spacing w:line="237" w:lineRule="exact"/>
                          <w:rPr>
                            <w:rFonts w:ascii="Times New Roman"/>
                            <w:sz w:val="21"/>
                          </w:rPr>
                        </w:pPr>
                        <w:r>
                          <w:rPr>
                            <w:rFonts w:ascii="Times New Roman"/>
                            <w:w w:val="100"/>
                            <w:sz w:val="21"/>
                          </w:rPr>
                          <w:t>5</w:t>
                        </w:r>
                      </w:p>
                    </w:tc>
                    <w:tc>
                      <w:tcPr>
                        <w:tcW w:w="1858" w:type="dxa"/>
                      </w:tcPr>
                      <w:p>
                        <w:pPr>
                          <w:pStyle w:val="TableParagraph"/>
                          <w:spacing w:line="237"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平地机</w:t>
                        </w:r>
                      </w:p>
                    </w:tc>
                    <w:tc>
                      <w:tcPr>
                        <w:tcW w:w="1841" w:type="dxa"/>
                      </w:tcPr>
                      <w:p>
                        <w:pPr>
                          <w:pStyle w:val="TableParagraph"/>
                          <w:spacing w:line="257" w:lineRule="exact"/>
                          <w:ind w:left="108" w:right="104"/>
                          <w:rPr>
                            <w:sz w:val="21"/>
                          </w:rPr>
                        </w:pPr>
                        <w:r>
                          <w:rPr>
                            <w:rFonts w:ascii="Times New Roman" w:eastAsia="Times New Roman"/>
                            <w:sz w:val="21"/>
                          </w:rPr>
                          <w:t>PY160A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90</w:t>
                        </w:r>
                      </w:p>
                    </w:tc>
                  </w:tr>
                  <w:tr>
                    <w:trPr>
                      <w:trHeight w:val="281" w:hRule="exact"/>
                    </w:trPr>
                    <w:tc>
                      <w:tcPr>
                        <w:tcW w:w="1488" w:type="dxa"/>
                        <w:vMerge/>
                      </w:tcPr>
                      <w:p>
                        <w:pPr/>
                      </w:p>
                    </w:tc>
                    <w:tc>
                      <w:tcPr>
                        <w:tcW w:w="2105" w:type="dxa"/>
                      </w:tcPr>
                      <w:p>
                        <w:pPr>
                          <w:pStyle w:val="TableParagraph"/>
                          <w:spacing w:line="241" w:lineRule="exact"/>
                          <w:ind w:left="186" w:right="186"/>
                          <w:rPr>
                            <w:sz w:val="21"/>
                          </w:rPr>
                        </w:pPr>
                        <w:r>
                          <w:rPr>
                            <w:sz w:val="21"/>
                          </w:rPr>
                          <w:t>振动式压路机</w:t>
                        </w:r>
                      </w:p>
                    </w:tc>
                    <w:tc>
                      <w:tcPr>
                        <w:tcW w:w="1841" w:type="dxa"/>
                      </w:tcPr>
                      <w:p>
                        <w:pPr>
                          <w:pStyle w:val="TableParagraph"/>
                          <w:spacing w:line="257" w:lineRule="exact"/>
                          <w:ind w:left="108" w:right="104"/>
                          <w:rPr>
                            <w:sz w:val="21"/>
                          </w:rPr>
                        </w:pPr>
                        <w:r>
                          <w:rPr>
                            <w:rFonts w:ascii="Times New Roman" w:eastAsia="Times New Roman"/>
                            <w:sz w:val="21"/>
                          </w:rPr>
                          <w:t>YZJ10B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3" w:hRule="exact"/>
                    </w:trPr>
                    <w:tc>
                      <w:tcPr>
                        <w:tcW w:w="1488" w:type="dxa"/>
                        <w:vMerge/>
                      </w:tcPr>
                      <w:p>
                        <w:pPr/>
                      </w:p>
                    </w:tc>
                    <w:tc>
                      <w:tcPr>
                        <w:tcW w:w="2105" w:type="dxa"/>
                      </w:tcPr>
                      <w:p>
                        <w:pPr>
                          <w:pStyle w:val="TableParagraph"/>
                          <w:spacing w:line="241" w:lineRule="exact"/>
                          <w:ind w:left="186" w:right="186"/>
                          <w:rPr>
                            <w:sz w:val="21"/>
                          </w:rPr>
                        </w:pPr>
                        <w:r>
                          <w:rPr>
                            <w:sz w:val="21"/>
                          </w:rPr>
                          <w:t>双轮双振压路机</w:t>
                        </w:r>
                      </w:p>
                    </w:tc>
                    <w:tc>
                      <w:tcPr>
                        <w:tcW w:w="1841" w:type="dxa"/>
                      </w:tcPr>
                      <w:p>
                        <w:pPr>
                          <w:pStyle w:val="TableParagraph"/>
                          <w:spacing w:line="257" w:lineRule="exact"/>
                          <w:ind w:left="108" w:right="104"/>
                          <w:rPr>
                            <w:sz w:val="21"/>
                          </w:rPr>
                        </w:pPr>
                        <w:r>
                          <w:rPr>
                            <w:rFonts w:ascii="Times New Roman" w:eastAsia="Times New Roman"/>
                            <w:sz w:val="21"/>
                          </w:rPr>
                          <w:t>CC21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三轮压路机</w:t>
                        </w:r>
                      </w:p>
                    </w:tc>
                    <w:tc>
                      <w:tcPr>
                        <w:tcW w:w="1841" w:type="dxa"/>
                      </w:tcPr>
                      <w:p>
                        <w:pP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1" w:hRule="exact"/>
                    </w:trPr>
                    <w:tc>
                      <w:tcPr>
                        <w:tcW w:w="1488" w:type="dxa"/>
                        <w:vMerge/>
                      </w:tcPr>
                      <w:p>
                        <w:pPr/>
                      </w:p>
                    </w:tc>
                    <w:tc>
                      <w:tcPr>
                        <w:tcW w:w="2105" w:type="dxa"/>
                      </w:tcPr>
                      <w:p>
                        <w:pPr>
                          <w:pStyle w:val="TableParagraph"/>
                          <w:spacing w:line="241" w:lineRule="exact"/>
                          <w:ind w:left="186" w:right="188"/>
                          <w:rPr>
                            <w:sz w:val="21"/>
                          </w:rPr>
                        </w:pPr>
                        <w:r>
                          <w:rPr>
                            <w:sz w:val="21"/>
                          </w:rPr>
                          <w:t>轮胎压路机</w:t>
                        </w:r>
                      </w:p>
                    </w:tc>
                    <w:tc>
                      <w:tcPr>
                        <w:tcW w:w="1841" w:type="dxa"/>
                      </w:tcPr>
                      <w:p>
                        <w:pPr>
                          <w:pStyle w:val="TableParagraph"/>
                          <w:spacing w:line="257" w:lineRule="exact"/>
                          <w:ind w:left="108" w:right="106"/>
                          <w:rPr>
                            <w:sz w:val="21"/>
                          </w:rPr>
                        </w:pPr>
                        <w:r>
                          <w:rPr>
                            <w:rFonts w:ascii="Times New Roman" w:eastAsia="Times New Roman"/>
                            <w:sz w:val="21"/>
                          </w:rPr>
                          <w:t>ZL16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76</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推土机</w:t>
                        </w:r>
                      </w:p>
                    </w:tc>
                    <w:tc>
                      <w:tcPr>
                        <w:tcW w:w="1841" w:type="dxa"/>
                      </w:tcPr>
                      <w:p>
                        <w:pPr>
                          <w:pStyle w:val="TableParagraph"/>
                          <w:spacing w:line="257" w:lineRule="exact"/>
                          <w:ind w:left="108" w:right="104"/>
                          <w:rPr>
                            <w:sz w:val="21"/>
                          </w:rPr>
                        </w:pPr>
                        <w:r>
                          <w:rPr>
                            <w:rFonts w:ascii="Times New Roman" w:eastAsia="Times New Roman"/>
                            <w:sz w:val="21"/>
                          </w:rPr>
                          <w:t>T140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1" w:hRule="exact"/>
                    </w:trPr>
                    <w:tc>
                      <w:tcPr>
                        <w:tcW w:w="1488" w:type="dxa"/>
                        <w:vMerge/>
                      </w:tcPr>
                      <w:p>
                        <w:pPr/>
                      </w:p>
                    </w:tc>
                    <w:tc>
                      <w:tcPr>
                        <w:tcW w:w="2105" w:type="dxa"/>
                      </w:tcPr>
                      <w:p>
                        <w:pPr>
                          <w:pStyle w:val="TableParagraph"/>
                          <w:spacing w:line="241" w:lineRule="exact"/>
                          <w:ind w:left="186" w:right="189"/>
                          <w:rPr>
                            <w:sz w:val="21"/>
                          </w:rPr>
                        </w:pPr>
                        <w:r>
                          <w:rPr>
                            <w:sz w:val="21"/>
                          </w:rPr>
                          <w:t>轮胎式液压挖掘机</w:t>
                        </w:r>
                      </w:p>
                    </w:tc>
                    <w:tc>
                      <w:tcPr>
                        <w:tcW w:w="1841" w:type="dxa"/>
                      </w:tcPr>
                      <w:p>
                        <w:pPr>
                          <w:pStyle w:val="TableParagraph"/>
                          <w:spacing w:line="257" w:lineRule="exact"/>
                          <w:ind w:left="108" w:right="106"/>
                          <w:rPr>
                            <w:sz w:val="21"/>
                          </w:rPr>
                        </w:pPr>
                        <w:r>
                          <w:rPr>
                            <w:rFonts w:ascii="Times New Roman" w:eastAsia="Times New Roman"/>
                            <w:sz w:val="21"/>
                          </w:rPr>
                          <w:t>W4-60C </w:t>
                        </w:r>
                        <w:r>
                          <w:rPr>
                            <w:sz w:val="21"/>
                          </w:rPr>
                          <w:t>型</w:t>
                        </w:r>
                      </w:p>
                    </w:tc>
                    <w:tc>
                      <w:tcPr>
                        <w:tcW w:w="744" w:type="dxa"/>
                      </w:tcPr>
                      <w:p>
                        <w:pPr>
                          <w:pStyle w:val="TableParagraph"/>
                          <w:spacing w:line="236" w:lineRule="exact"/>
                          <w:rPr>
                            <w:rFonts w:ascii="Times New Roman"/>
                            <w:sz w:val="21"/>
                          </w:rPr>
                        </w:pPr>
                        <w:r>
                          <w:rPr>
                            <w:rFonts w:ascii="Times New Roman"/>
                            <w:w w:val="100"/>
                            <w:sz w:val="21"/>
                          </w:rPr>
                          <w:t>5</w:t>
                        </w:r>
                      </w:p>
                    </w:tc>
                    <w:tc>
                      <w:tcPr>
                        <w:tcW w:w="1858" w:type="dxa"/>
                      </w:tcPr>
                      <w:p>
                        <w:pPr>
                          <w:pStyle w:val="TableParagraph"/>
                          <w:spacing w:line="236" w:lineRule="exact"/>
                          <w:ind w:left="105" w:right="108"/>
                          <w:rPr>
                            <w:rFonts w:ascii="Times New Roman"/>
                            <w:sz w:val="21"/>
                          </w:rPr>
                        </w:pPr>
                        <w:r>
                          <w:rPr>
                            <w:rFonts w:ascii="Times New Roman"/>
                            <w:sz w:val="21"/>
                          </w:rPr>
                          <w:t>84</w:t>
                        </w:r>
                      </w:p>
                    </w:tc>
                  </w:tr>
                  <w:tr>
                    <w:trPr>
                      <w:trHeight w:val="283" w:hRule="exact"/>
                    </w:trPr>
                    <w:tc>
                      <w:tcPr>
                        <w:tcW w:w="1488" w:type="dxa"/>
                        <w:vMerge/>
                      </w:tcPr>
                      <w:p>
                        <w:pPr/>
                      </w:p>
                    </w:tc>
                    <w:tc>
                      <w:tcPr>
                        <w:tcW w:w="2105" w:type="dxa"/>
                      </w:tcPr>
                      <w:p>
                        <w:pPr>
                          <w:pStyle w:val="TableParagraph"/>
                          <w:spacing w:line="243" w:lineRule="exact"/>
                          <w:ind w:left="186" w:right="186"/>
                          <w:rPr>
                            <w:sz w:val="21"/>
                          </w:rPr>
                        </w:pPr>
                        <w:r>
                          <w:rPr>
                            <w:sz w:val="21"/>
                          </w:rPr>
                          <w:t>冲击式钻井机</w:t>
                        </w:r>
                      </w:p>
                    </w:tc>
                    <w:tc>
                      <w:tcPr>
                        <w:tcW w:w="1841" w:type="dxa"/>
                      </w:tcPr>
                      <w:p>
                        <w:pPr>
                          <w:pStyle w:val="TableParagraph"/>
                          <w:spacing w:line="259" w:lineRule="exact"/>
                          <w:ind w:left="108" w:right="106"/>
                          <w:rPr>
                            <w:sz w:val="21"/>
                          </w:rPr>
                        </w:pPr>
                        <w:r>
                          <w:rPr>
                            <w:rFonts w:ascii="Times New Roman" w:eastAsia="Times New Roman"/>
                            <w:sz w:val="21"/>
                          </w:rPr>
                          <w:t>22 </w:t>
                        </w:r>
                        <w:r>
                          <w:rPr>
                            <w:sz w:val="21"/>
                          </w:rPr>
                          <w:t>型</w:t>
                        </w:r>
                      </w:p>
                    </w:tc>
                    <w:tc>
                      <w:tcPr>
                        <w:tcW w:w="744" w:type="dxa"/>
                      </w:tcPr>
                      <w:p>
                        <w:pPr>
                          <w:pStyle w:val="TableParagraph"/>
                          <w:spacing w:line="237" w:lineRule="exact"/>
                          <w:rPr>
                            <w:rFonts w:ascii="Times New Roman"/>
                            <w:sz w:val="21"/>
                          </w:rPr>
                        </w:pPr>
                        <w:r>
                          <w:rPr>
                            <w:rFonts w:ascii="Times New Roman"/>
                            <w:w w:val="100"/>
                            <w:sz w:val="21"/>
                          </w:rPr>
                          <w:t>4</w:t>
                        </w:r>
                      </w:p>
                    </w:tc>
                    <w:tc>
                      <w:tcPr>
                        <w:tcW w:w="1858" w:type="dxa"/>
                      </w:tcPr>
                      <w:p>
                        <w:pPr>
                          <w:pStyle w:val="TableParagraph"/>
                          <w:spacing w:line="237" w:lineRule="exact"/>
                          <w:ind w:left="105" w:right="108"/>
                          <w:rPr>
                            <w:rFonts w:ascii="Times New Roman"/>
                            <w:sz w:val="21"/>
                          </w:rPr>
                        </w:pPr>
                        <w:r>
                          <w:rPr>
                            <w:rFonts w:ascii="Times New Roman"/>
                            <w:sz w:val="21"/>
                          </w:rPr>
                          <w:t>87</w:t>
                        </w:r>
                      </w:p>
                    </w:tc>
                  </w:tr>
                  <w:tr>
                    <w:trPr>
                      <w:trHeight w:val="283" w:hRule="exact"/>
                    </w:trPr>
                    <w:tc>
                      <w:tcPr>
                        <w:tcW w:w="1488" w:type="dxa"/>
                        <w:vMerge w:val="restart"/>
                      </w:tcPr>
                      <w:p>
                        <w:pPr>
                          <w:pStyle w:val="TableParagraph"/>
                          <w:spacing w:line="241" w:lineRule="exact"/>
                          <w:ind w:left="509" w:right="509"/>
                          <w:rPr>
                            <w:sz w:val="21"/>
                          </w:rPr>
                        </w:pPr>
                        <w:r>
                          <w:rPr>
                            <w:sz w:val="21"/>
                          </w:rPr>
                          <w:t>结构</w:t>
                        </w: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8" w:right="107"/>
                          <w:rPr>
                            <w:rFonts w:ascii="Times New Roman"/>
                            <w:sz w:val="21"/>
                          </w:rPr>
                        </w:pPr>
                        <w:r>
                          <w:rPr>
                            <w:rFonts w:ascii="Times New Roman"/>
                            <w:sz w:val="21"/>
                          </w:rPr>
                          <w:t>Fifond311A  GCO</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82</w:t>
                        </w:r>
                      </w:p>
                    </w:tc>
                  </w:tr>
                  <w:tr>
                    <w:trPr>
                      <w:trHeight w:val="281" w:hRule="exact"/>
                    </w:trPr>
                    <w:tc>
                      <w:tcPr>
                        <w:tcW w:w="1488" w:type="dxa"/>
                        <w:vMerge/>
                      </w:tcPr>
                      <w:p>
                        <w:pP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6" w:right="107"/>
                          <w:rPr>
                            <w:rFonts w:ascii="Times New Roman"/>
                            <w:sz w:val="21"/>
                          </w:rPr>
                        </w:pPr>
                        <w:r>
                          <w:rPr>
                            <w:rFonts w:ascii="Times New Roman"/>
                            <w:sz w:val="21"/>
                          </w:rPr>
                          <w:t>BOGELE</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3" w:hRule="exact"/>
                    </w:trPr>
                    <w:tc>
                      <w:tcPr>
                        <w:tcW w:w="1488" w:type="dxa"/>
                        <w:vMerge/>
                      </w:tcPr>
                      <w:p>
                        <w:pPr/>
                      </w:p>
                    </w:tc>
                    <w:tc>
                      <w:tcPr>
                        <w:tcW w:w="2105" w:type="dxa"/>
                      </w:tcPr>
                      <w:p>
                        <w:pPr>
                          <w:pStyle w:val="TableParagraph"/>
                          <w:spacing w:line="243" w:lineRule="exact"/>
                          <w:ind w:left="186" w:right="188"/>
                          <w:rPr>
                            <w:sz w:val="21"/>
                          </w:rPr>
                        </w:pPr>
                        <w:r>
                          <w:rPr>
                            <w:sz w:val="21"/>
                          </w:rPr>
                          <w:t>发电机组</w:t>
                        </w:r>
                      </w:p>
                    </w:tc>
                    <w:tc>
                      <w:tcPr>
                        <w:tcW w:w="1841" w:type="dxa"/>
                      </w:tcPr>
                      <w:p>
                        <w:pPr>
                          <w:pStyle w:val="TableParagraph"/>
                          <w:spacing w:line="237" w:lineRule="exact"/>
                          <w:ind w:left="107" w:right="107"/>
                          <w:rPr>
                            <w:rFonts w:ascii="Times New Roman"/>
                            <w:sz w:val="21"/>
                          </w:rPr>
                        </w:pPr>
                        <w:r>
                          <w:rPr>
                            <w:rFonts w:ascii="Times New Roman"/>
                            <w:sz w:val="21"/>
                          </w:rPr>
                          <w:t>FKV-7</w:t>
                        </w:r>
                      </w:p>
                    </w:tc>
                    <w:tc>
                      <w:tcPr>
                        <w:tcW w:w="744" w:type="dxa"/>
                      </w:tcPr>
                      <w:p>
                        <w:pPr>
                          <w:pStyle w:val="TableParagraph"/>
                          <w:spacing w:line="237" w:lineRule="exact"/>
                          <w:rPr>
                            <w:rFonts w:ascii="Times New Roman"/>
                            <w:sz w:val="21"/>
                          </w:rPr>
                        </w:pPr>
                        <w:r>
                          <w:rPr>
                            <w:rFonts w:ascii="Times New Roman"/>
                            <w:w w:val="100"/>
                            <w:sz w:val="21"/>
                          </w:rPr>
                          <w:t>4</w:t>
                        </w:r>
                      </w:p>
                    </w:tc>
                    <w:tc>
                      <w:tcPr>
                        <w:tcW w:w="1858" w:type="dxa"/>
                      </w:tcPr>
                      <w:p>
                        <w:pPr>
                          <w:pStyle w:val="TableParagraph"/>
                          <w:spacing w:line="237" w:lineRule="exact"/>
                          <w:ind w:left="105" w:right="108"/>
                          <w:rPr>
                            <w:rFonts w:ascii="Times New Roman"/>
                            <w:sz w:val="21"/>
                          </w:rPr>
                        </w:pPr>
                        <w:r>
                          <w:rPr>
                            <w:rFonts w:ascii="Times New Roman"/>
                            <w:sz w:val="21"/>
                          </w:rPr>
                          <w:t>98</w:t>
                        </w:r>
                      </w:p>
                    </w:tc>
                  </w:tr>
                </w:tbl>
                <w:p>
                  <w:pPr>
                    <w:pStyle w:val="BodyText"/>
                  </w:pPr>
                </w:p>
              </w:txbxContent>
            </v:textbox>
            <w10:wrap type="none"/>
          </v:shape>
        </w:pict>
      </w:r>
      <w:r>
        <w:rPr/>
        <w:t>表</w:t>
      </w:r>
      <w:r>
        <w:rPr>
          <w:spacing w:val="-60"/>
        </w:rPr>
        <w:t> </w:t>
      </w:r>
      <w:r>
        <w:rPr>
          <w:rFonts w:ascii="Times New Roman" w:eastAsia="Times New Roman"/>
        </w:rPr>
        <w:t>1-8</w:t>
        <w:tab/>
      </w:r>
      <w:r>
        <w:rPr>
          <w:w w:val="95"/>
        </w:rPr>
        <w:t>项目建设主要机械设备表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4"/>
        <w:rPr>
          <w:b/>
          <w:sz w:val="26"/>
        </w:rPr>
      </w:pPr>
    </w:p>
    <w:p>
      <w:pPr>
        <w:spacing w:before="0"/>
        <w:ind w:left="700" w:right="0" w:firstLine="0"/>
        <w:jc w:val="left"/>
        <w:rPr>
          <w:b/>
          <w:sz w:val="24"/>
        </w:rPr>
      </w:pPr>
      <w:r>
        <w:rPr>
          <w:b/>
          <w:w w:val="95"/>
          <w:sz w:val="24"/>
        </w:rPr>
        <w:t>九、工程占地及拆迁</w:t>
      </w:r>
    </w:p>
    <w:p>
      <w:pPr>
        <w:spacing w:before="154"/>
        <w:ind w:left="700" w:right="0" w:firstLine="0"/>
        <w:jc w:val="left"/>
        <w:rPr>
          <w:b/>
          <w:sz w:val="24"/>
        </w:rPr>
      </w:pPr>
      <w:r>
        <w:rPr>
          <w:rFonts w:ascii="Times New Roman" w:eastAsia="Times New Roman"/>
          <w:b/>
          <w:w w:val="95"/>
          <w:sz w:val="24"/>
        </w:rPr>
        <w:t>1</w:t>
      </w:r>
      <w:r>
        <w:rPr>
          <w:b/>
          <w:w w:val="95"/>
          <w:sz w:val="24"/>
        </w:rPr>
        <w:t>、占地</w:t>
      </w:r>
    </w:p>
    <w:p>
      <w:pPr>
        <w:pStyle w:val="BodyText"/>
        <w:spacing w:line="338" w:lineRule="auto" w:before="133"/>
        <w:ind w:left="698" w:right="2172"/>
      </w:pPr>
      <w:r>
        <w:rPr/>
        <w:t>工程永久占地总面积 </w:t>
      </w:r>
      <w:r>
        <w:rPr>
          <w:rFonts w:ascii="Times New Roman" w:eastAsia="Times New Roman"/>
        </w:rPr>
        <w:t>7.54 </w:t>
      </w:r>
      <w:r>
        <w:rPr/>
        <w:t>亩，主要是道路和绿化用地。工程临时占地为施工场地和临时堆场占地。</w:t>
      </w:r>
    </w:p>
    <w:p>
      <w:pPr>
        <w:pStyle w:val="BodyText"/>
        <w:spacing w:line="345" w:lineRule="auto" w:before="53"/>
        <w:ind w:left="218" w:right="231" w:firstLine="479"/>
        <w:jc w:val="both"/>
      </w:pPr>
      <w:r>
        <w:rPr>
          <w:spacing w:val="-7"/>
        </w:rPr>
        <w:t>本项目设置 </w:t>
      </w:r>
      <w:r>
        <w:rPr>
          <w:rFonts w:ascii="Times New Roman" w:eastAsia="Times New Roman"/>
        </w:rPr>
        <w:t>1 </w:t>
      </w:r>
      <w:r>
        <w:rPr>
          <w:spacing w:val="-3"/>
        </w:rPr>
        <w:t>个施工场地。位于红线北侧 </w:t>
      </w:r>
      <w:r>
        <w:rPr>
          <w:rFonts w:ascii="Times New Roman" w:eastAsia="Times New Roman"/>
        </w:rPr>
        <w:t>50m </w:t>
      </w:r>
      <w:r>
        <w:rPr>
          <w:spacing w:val="-6"/>
        </w:rPr>
        <w:t>处，占地面积 </w:t>
      </w:r>
      <w:r>
        <w:rPr>
          <w:rFonts w:ascii="Times New Roman" w:eastAsia="Times New Roman"/>
        </w:rPr>
        <w:t>200m</w:t>
      </w:r>
      <w:r>
        <w:rPr>
          <w:rFonts w:ascii="Times New Roman" w:eastAsia="Times New Roman"/>
          <w:position w:val="11"/>
          <w:sz w:val="16"/>
        </w:rPr>
        <w:t>2</w:t>
      </w:r>
      <w:r>
        <w:rPr/>
        <w:t>，包括</w:t>
      </w:r>
      <w:r>
        <w:rPr>
          <w:spacing w:val="-9"/>
        </w:rPr>
        <w:t>临时办公、材料仓库和堆场、机械设备临时堆放场等，不另设料场。占地类型为</w:t>
      </w:r>
      <w:r>
        <w:rPr>
          <w:spacing w:val="-1"/>
        </w:rPr>
        <w:t>农田。</w:t>
      </w:r>
    </w:p>
    <w:p>
      <w:pPr>
        <w:pStyle w:val="BodyText"/>
        <w:spacing w:line="336" w:lineRule="auto" w:before="48"/>
        <w:ind w:left="218" w:right="159" w:firstLine="479"/>
      </w:pPr>
      <w:r>
        <w:rPr/>
        <w:t>本项目设置 </w:t>
      </w:r>
      <w:r>
        <w:rPr>
          <w:rFonts w:ascii="Times New Roman" w:eastAsia="Times New Roman"/>
        </w:rPr>
        <w:t>1 </w:t>
      </w:r>
      <w:r>
        <w:rPr/>
        <w:t>个临时堆场，位于红线北侧 </w:t>
      </w:r>
      <w:r>
        <w:rPr>
          <w:rFonts w:ascii="Times New Roman" w:eastAsia="Times New Roman"/>
        </w:rPr>
        <w:t>50m </w:t>
      </w:r>
      <w:r>
        <w:rPr/>
        <w:t>处，占地面积 </w:t>
      </w:r>
      <w:r>
        <w:rPr>
          <w:rFonts w:ascii="Times New Roman" w:eastAsia="Times New Roman"/>
        </w:rPr>
        <w:t>200m</w:t>
      </w:r>
      <w:r>
        <w:rPr>
          <w:rFonts w:ascii="Times New Roman" w:eastAsia="Times New Roman"/>
          <w:position w:val="11"/>
          <w:sz w:val="16"/>
        </w:rPr>
        <w:t>2</w:t>
      </w:r>
      <w:r>
        <w:rPr/>
        <w:t>，用于施工期土石方的临时堆存。占地类型为农田。本项目不设取、弃土场。</w:t>
      </w:r>
    </w:p>
    <w:p>
      <w:pPr>
        <w:pStyle w:val="Heading3"/>
        <w:spacing w:before="57"/>
      </w:pPr>
      <w:r>
        <w:rPr>
          <w:rFonts w:ascii="Times New Roman" w:eastAsia="Times New Roman"/>
          <w:w w:val="95"/>
        </w:rPr>
        <w:t>2</w:t>
      </w:r>
      <w:r>
        <w:rPr>
          <w:w w:val="95"/>
        </w:rPr>
        <w:t>、征地拆迁</w:t>
      </w:r>
    </w:p>
    <w:p>
      <w:pPr>
        <w:spacing w:line="355" w:lineRule="auto" w:before="135"/>
        <w:ind w:left="700" w:right="4693" w:hanging="3"/>
        <w:jc w:val="left"/>
        <w:rPr>
          <w:b/>
          <w:sz w:val="24"/>
        </w:rPr>
      </w:pPr>
      <w:r>
        <w:rPr>
          <w:sz w:val="24"/>
        </w:rPr>
        <w:t>工程为道路建设，不涉及拆迁。</w:t>
      </w:r>
      <w:r>
        <w:rPr>
          <w:b/>
          <w:w w:val="95"/>
          <w:sz w:val="24"/>
        </w:rPr>
        <w:t>十、临时工程布置合理性分析</w:t>
      </w:r>
    </w:p>
    <w:p>
      <w:pPr>
        <w:pStyle w:val="BodyText"/>
        <w:spacing w:line="355" w:lineRule="auto" w:before="39"/>
        <w:ind w:left="218" w:right="133" w:firstLine="479"/>
      </w:pPr>
      <w:r>
        <w:rPr/>
        <w:t>本项目不设施工营地、施工便道，临时工程为施工场地和临时堆场，具体方案如下：</w:t>
      </w:r>
    </w:p>
    <w:p>
      <w:pPr>
        <w:pStyle w:val="BodyText"/>
        <w:spacing w:line="352" w:lineRule="auto" w:before="38"/>
        <w:ind w:left="218" w:right="91" w:firstLine="479"/>
      </w:pPr>
      <w:r>
        <w:rPr>
          <w:spacing w:val="-10"/>
        </w:rPr>
        <w:t>施工场地：本项目设置</w:t>
      </w:r>
      <w:r>
        <w:rPr>
          <w:rFonts w:ascii="Times New Roman" w:eastAsia="Times New Roman"/>
        </w:rPr>
        <w:t>1 </w:t>
      </w:r>
      <w:r>
        <w:rPr>
          <w:spacing w:val="-9"/>
        </w:rPr>
        <w:t>个施工场地。位于红线北侧</w:t>
      </w:r>
      <w:r>
        <w:rPr>
          <w:rFonts w:ascii="Times New Roman" w:eastAsia="Times New Roman"/>
        </w:rPr>
        <w:t>50m </w:t>
      </w:r>
      <w:r>
        <w:rPr>
          <w:spacing w:val="-14"/>
        </w:rPr>
        <w:t>处，占地面积</w:t>
      </w:r>
      <w:r>
        <w:rPr>
          <w:rFonts w:ascii="Times New Roman" w:eastAsia="Times New Roman"/>
        </w:rPr>
        <w:t>200m</w:t>
      </w:r>
      <w:r>
        <w:rPr>
          <w:rFonts w:ascii="Times New Roman" w:eastAsia="Times New Roman"/>
          <w:position w:val="11"/>
          <w:sz w:val="16"/>
        </w:rPr>
        <w:t>2</w:t>
      </w:r>
      <w:r>
        <w:rPr/>
        <w:t>， </w:t>
      </w:r>
      <w:r>
        <w:rPr>
          <w:spacing w:val="-8"/>
        </w:rPr>
        <w:t>包括临时办公、材料仓库和堆场、机械设备临时堆放场等，不另设料场。占地类</w:t>
      </w:r>
      <w:r>
        <w:rPr>
          <w:spacing w:val="-11"/>
        </w:rPr>
        <w:t>型为农田、荒地。项目施工所需混凝土及沥青均属商品混凝土和商品沥青，项目</w:t>
      </w:r>
      <w:r>
        <w:rPr>
          <w:spacing w:val="-15"/>
        </w:rPr>
        <w:t>不设置混凝土搅拌站和沥青拌合站。根据现场调查，本项目道路建设时，道路沿线为农田和居民，道路红线外 </w:t>
      </w:r>
      <w:r>
        <w:rPr>
          <w:rFonts w:ascii="Times New Roman" w:eastAsia="Times New Roman"/>
        </w:rPr>
        <w:t>200m </w:t>
      </w:r>
      <w:r>
        <w:rPr>
          <w:spacing w:val="-3"/>
        </w:rPr>
        <w:t>范围内无医院、学校等敏感点。本项目施工</w:t>
      </w:r>
    </w:p>
    <w:p>
      <w:pPr>
        <w:spacing w:after="0" w:line="352" w:lineRule="auto"/>
        <w:sectPr>
          <w:pgSz w:w="11910" w:h="16850"/>
          <w:pgMar w:header="0" w:footer="1141" w:top="1400" w:bottom="1400" w:left="1580" w:right="1560"/>
        </w:sectPr>
      </w:pPr>
    </w:p>
    <w:p>
      <w:pPr>
        <w:pStyle w:val="BodyText"/>
        <w:spacing w:line="338" w:lineRule="auto" w:before="9"/>
        <w:ind w:left="218" w:right="147"/>
      </w:pPr>
      <w:r>
        <w:rPr/>
        <w:pict>
          <v:group style="position:absolute;margin-left:84.014pt;margin-top:71.749977pt;width:427.45pt;height:677.3pt;mso-position-horizontal-relative:page;mso-position-vertical-relative:page;z-index:-199096" coordorigin="1680,1435" coordsize="8549,13546">
            <v:line style="position:absolute" from="1695,1445" to="10214,1445" stroked="true" strokeweight=".48pt" strokecolor="#000000">
              <v:stroke dashstyle="solid"/>
            </v:line>
            <v:line style="position:absolute" from="1690,1440" to="1690,14971" stroked="true" strokeweight=".48pt" strokecolor="#000000">
              <v:stroke dashstyle="solid"/>
            </v:line>
            <v:line style="position:absolute" from="1685,14976" to="1695,14976" stroked="true" strokeweight=".47998pt" strokecolor="#000000">
              <v:stroke dashstyle="solid"/>
            </v:line>
            <v:line style="position:absolute" from="1685,14976" to="1695,14976" stroked="true" strokeweight=".47998pt" strokecolor="#000000">
              <v:stroke dashstyle="solid"/>
            </v:line>
            <v:line style="position:absolute" from="1695,14976" to="10214,14976" stroked="true" strokeweight=".47998pt" strokecolor="#000000">
              <v:stroke dashstyle="solid"/>
            </v:line>
            <v:line style="position:absolute" from="10219,1440" to="10219,14971" stroked="true" strokeweight=".47998pt" strokecolor="#000000">
              <v:stroke dashstyle="solid"/>
            </v:line>
            <v:line style="position:absolute" from="10214,14976" to="10224,14976" stroked="true" strokeweight=".47998pt" strokecolor="#000000">
              <v:stroke dashstyle="solid"/>
            </v:line>
            <v:line style="position:absolute" from="10214,14976" to="10224,14976" stroked="true" strokeweight=".47998pt" strokecolor="#000000">
              <v:stroke dashstyle="solid"/>
            </v:line>
            <w10:wrap type="none"/>
          </v:group>
        </w:pict>
      </w:r>
      <w:r>
        <w:rPr>
          <w:spacing w:val="-13"/>
        </w:rPr>
        <w:t>场地设置在施工现场附近，减少运输距离，施工场地周边 </w:t>
      </w:r>
      <w:r>
        <w:rPr>
          <w:rFonts w:ascii="Times New Roman" w:eastAsia="Times New Roman"/>
        </w:rPr>
        <w:t>200m </w:t>
      </w:r>
      <w:r>
        <w:rPr/>
        <w:t>范围主要为居民， 设置在尽量远离居民区一侧。因此，施工场地布置合理。</w:t>
      </w:r>
    </w:p>
    <w:p>
      <w:pPr>
        <w:pStyle w:val="BodyText"/>
        <w:spacing w:line="345" w:lineRule="auto" w:before="53"/>
        <w:ind w:left="218" w:right="97" w:firstLine="479"/>
      </w:pPr>
      <w:r>
        <w:rPr>
          <w:spacing w:val="-10"/>
        </w:rPr>
        <w:t>临时堆场：本项目设置</w:t>
      </w:r>
      <w:r>
        <w:rPr>
          <w:rFonts w:ascii="Times New Roman" w:eastAsia="Times New Roman"/>
        </w:rPr>
        <w:t>1 </w:t>
      </w:r>
      <w:r>
        <w:rPr>
          <w:spacing w:val="-9"/>
        </w:rPr>
        <w:t>个临时堆场，位于红线北侧</w:t>
      </w:r>
      <w:r>
        <w:rPr>
          <w:rFonts w:ascii="Times New Roman" w:eastAsia="Times New Roman"/>
        </w:rPr>
        <w:t>50m </w:t>
      </w:r>
      <w:r>
        <w:rPr>
          <w:spacing w:val="-14"/>
        </w:rPr>
        <w:t>处，占地面积</w:t>
      </w:r>
      <w:r>
        <w:rPr>
          <w:rFonts w:ascii="Times New Roman" w:eastAsia="Times New Roman"/>
        </w:rPr>
        <w:t>200m</w:t>
      </w:r>
      <w:r>
        <w:rPr>
          <w:rFonts w:ascii="Times New Roman" w:eastAsia="Times New Roman"/>
          <w:position w:val="11"/>
          <w:sz w:val="16"/>
        </w:rPr>
        <w:t>2</w:t>
      </w:r>
      <w:r>
        <w:rPr/>
        <w:t>， </w:t>
      </w:r>
      <w:r>
        <w:rPr>
          <w:spacing w:val="-5"/>
        </w:rPr>
        <w:t>用于施工期土石方的临时堆存。占地类型为农田。本项目不设取、弃土场。根据</w:t>
      </w:r>
      <w:r>
        <w:rPr>
          <w:spacing w:val="-10"/>
        </w:rPr>
        <w:t>现场调查，本项目道路建设时，道路沿线为农田和居民，施工场地周边 </w:t>
      </w:r>
      <w:r>
        <w:rPr>
          <w:rFonts w:ascii="Times New Roman" w:eastAsia="Times New Roman"/>
        </w:rPr>
        <w:t>200m </w:t>
      </w:r>
      <w:r>
        <w:rPr/>
        <w:t>范</w:t>
      </w:r>
      <w:r>
        <w:rPr>
          <w:spacing w:val="-8"/>
        </w:rPr>
        <w:t>围内无医院、学校等敏感点，设置在尽量远离居民区一侧。因此，临时堆场布置</w:t>
      </w:r>
      <w:r>
        <w:rPr>
          <w:spacing w:val="-1"/>
        </w:rPr>
        <w:t>合理。</w:t>
      </w:r>
    </w:p>
    <w:p>
      <w:pPr>
        <w:pStyle w:val="Heading3"/>
        <w:spacing w:before="48"/>
      </w:pPr>
      <w:r>
        <w:rPr>
          <w:w w:val="95"/>
        </w:rPr>
        <w:t>十一、交通量预测</w:t>
      </w:r>
    </w:p>
    <w:p>
      <w:pPr>
        <w:pStyle w:val="BodyText"/>
        <w:spacing w:line="357" w:lineRule="auto" w:before="152"/>
        <w:ind w:left="218" w:right="232" w:firstLine="479"/>
        <w:jc w:val="both"/>
      </w:pPr>
      <w:r>
        <w:rPr>
          <w:spacing w:val="-6"/>
        </w:rPr>
        <w:t>本项目为道路新建项目，在交通量调查及其它交通量调查的基础上，掌握并</w:t>
      </w:r>
      <w:r>
        <w:rPr>
          <w:spacing w:val="-10"/>
        </w:rPr>
        <w:t>分析项目影响区域的交通发展水平和特征，为交通量预测提供基础数据，然后结</w:t>
      </w:r>
      <w:r>
        <w:rPr>
          <w:spacing w:val="-14"/>
        </w:rPr>
        <w:t>合社会经济预测分析，使用建设项目可行性研究常用的技术和方法，分析预测远</w:t>
      </w:r>
      <w:r>
        <w:rPr>
          <w:spacing w:val="-16"/>
        </w:rPr>
        <w:t>景年交通量的规模和水平，为建设项目的技术等级、建设规模和经济评价提供重要的依据。</w:t>
      </w:r>
    </w:p>
    <w:p>
      <w:pPr>
        <w:pStyle w:val="BodyText"/>
        <w:spacing w:line="338" w:lineRule="auto" w:before="34"/>
        <w:ind w:left="218" w:right="147" w:firstLine="479"/>
      </w:pPr>
      <w:r>
        <w:rPr>
          <w:spacing w:val="-6"/>
        </w:rPr>
        <w:t>本项目预测特征年定为 </w:t>
      </w:r>
      <w:r>
        <w:rPr>
          <w:rFonts w:ascii="Times New Roman" w:eastAsia="Times New Roman"/>
        </w:rPr>
        <w:t>2018 </w:t>
      </w:r>
      <w:r>
        <w:rPr>
          <w:spacing w:val="-15"/>
        </w:rPr>
        <w:t>年、</w:t>
      </w:r>
      <w:r>
        <w:rPr>
          <w:rFonts w:ascii="Times New Roman" w:eastAsia="Times New Roman"/>
        </w:rPr>
        <w:t>2023 </w:t>
      </w:r>
      <w:r>
        <w:rPr>
          <w:spacing w:val="-15"/>
        </w:rPr>
        <w:t>年、</w:t>
      </w:r>
      <w:r>
        <w:rPr>
          <w:rFonts w:ascii="Times New Roman" w:eastAsia="Times New Roman"/>
        </w:rPr>
        <w:t>2028 </w:t>
      </w:r>
      <w:r>
        <w:rPr>
          <w:spacing w:val="-6"/>
        </w:rPr>
        <w:t>年，根据实际监测结果及相</w:t>
      </w:r>
      <w:r>
        <w:rPr>
          <w:spacing w:val="-1"/>
        </w:rPr>
        <w:t>关资料，各特征年交通量见下表。</w:t>
      </w:r>
    </w:p>
    <w:p>
      <w:pPr>
        <w:pStyle w:val="Heading3"/>
        <w:tabs>
          <w:tab w:pos="3141" w:val="left" w:leader="none"/>
          <w:tab w:pos="5674" w:val="left" w:leader="none"/>
        </w:tabs>
        <w:spacing w:before="53"/>
        <w:ind w:left="2280"/>
      </w:pPr>
      <w:r>
        <w:rPr/>
        <w:t>表</w:t>
      </w:r>
      <w:r>
        <w:rPr>
          <w:spacing w:val="-60"/>
        </w:rPr>
        <w:t> </w:t>
      </w:r>
      <w:r>
        <w:rPr>
          <w:rFonts w:ascii="Times New Roman" w:eastAsia="Times New Roman"/>
        </w:rPr>
        <w:t>1-9</w:t>
        <w:tab/>
      </w:r>
      <w:r>
        <w:rPr/>
        <w:t>交通量预测结果表</w:t>
        <w:tab/>
      </w:r>
      <w:r>
        <w:rPr>
          <w:w w:val="95"/>
        </w:rPr>
        <w:t>单位：辆</w:t>
      </w:r>
      <w:r>
        <w:rPr>
          <w:rFonts w:ascii="Times New Roman" w:eastAsia="Times New Roman"/>
          <w:w w:val="95"/>
        </w:rPr>
        <w:t>/</w:t>
      </w:r>
      <w:r>
        <w:rPr>
          <w:w w:val="95"/>
        </w:rPr>
        <w:t>日</w:t>
      </w:r>
    </w:p>
    <w:p>
      <w:pPr>
        <w:pStyle w:val="BodyText"/>
        <w:spacing w:before="5"/>
        <w:rPr>
          <w:b/>
          <w:sz w:val="13"/>
        </w:rPr>
      </w:pPr>
    </w:p>
    <w:tbl>
      <w:tblPr>
        <w:tblW w:w="0" w:type="auto"/>
        <w:jc w:val="left"/>
        <w:tblInd w:w="3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887"/>
        <w:gridCol w:w="3056"/>
      </w:tblGrid>
      <w:tr>
        <w:trPr>
          <w:trHeight w:val="343" w:hRule="exact"/>
        </w:trPr>
        <w:tc>
          <w:tcPr>
            <w:tcW w:w="4887" w:type="dxa"/>
            <w:tcBorders>
              <w:bottom w:val="single" w:sz="6" w:space="0" w:color="000000"/>
              <w:right w:val="single" w:sz="6" w:space="0" w:color="000000"/>
            </w:tcBorders>
          </w:tcPr>
          <w:p>
            <w:pPr>
              <w:pStyle w:val="TableParagraph"/>
              <w:spacing w:line="267" w:lineRule="exact"/>
              <w:ind w:left="2094" w:right="2099"/>
              <w:rPr>
                <w:b/>
                <w:sz w:val="21"/>
              </w:rPr>
            </w:pPr>
            <w:r>
              <w:rPr>
                <w:b/>
                <w:sz w:val="21"/>
              </w:rPr>
              <w:t>特征年</w:t>
            </w:r>
          </w:p>
        </w:tc>
        <w:tc>
          <w:tcPr>
            <w:tcW w:w="3056" w:type="dxa"/>
            <w:tcBorders>
              <w:left w:val="single" w:sz="6" w:space="0" w:color="000000"/>
              <w:bottom w:val="single" w:sz="6" w:space="0" w:color="000000"/>
            </w:tcBorders>
          </w:tcPr>
          <w:p>
            <w:pPr>
              <w:pStyle w:val="TableParagraph"/>
              <w:spacing w:line="267" w:lineRule="exact"/>
              <w:ind w:left="1183" w:right="1183"/>
              <w:rPr>
                <w:b/>
                <w:sz w:val="21"/>
              </w:rPr>
            </w:pPr>
            <w:r>
              <w:rPr>
                <w:b/>
                <w:sz w:val="21"/>
              </w:rPr>
              <w:t>交通量</w:t>
            </w:r>
          </w:p>
        </w:tc>
      </w:tr>
      <w:tr>
        <w:trPr>
          <w:trHeight w:val="341" w:hRule="exact"/>
        </w:trPr>
        <w:tc>
          <w:tcPr>
            <w:tcW w:w="4887" w:type="dxa"/>
            <w:tcBorders>
              <w:top w:val="single" w:sz="6" w:space="0" w:color="000000"/>
              <w:bottom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2018</w:t>
            </w:r>
          </w:p>
        </w:tc>
        <w:tc>
          <w:tcPr>
            <w:tcW w:w="3056" w:type="dxa"/>
            <w:tcBorders>
              <w:top w:val="single" w:sz="6" w:space="0" w:color="000000"/>
              <w:left w:val="single" w:sz="6" w:space="0" w:color="000000"/>
              <w:bottom w:val="single" w:sz="6" w:space="0" w:color="000000"/>
            </w:tcBorders>
          </w:tcPr>
          <w:p>
            <w:pPr>
              <w:pStyle w:val="TableParagraph"/>
              <w:spacing w:before="36"/>
              <w:ind w:left="1183" w:right="1179"/>
              <w:rPr>
                <w:rFonts w:ascii="Times New Roman"/>
                <w:sz w:val="21"/>
              </w:rPr>
            </w:pPr>
            <w:r>
              <w:rPr>
                <w:rFonts w:ascii="Times New Roman"/>
                <w:sz w:val="21"/>
              </w:rPr>
              <w:t>278</w:t>
            </w:r>
          </w:p>
        </w:tc>
      </w:tr>
      <w:tr>
        <w:trPr>
          <w:trHeight w:val="341" w:hRule="exact"/>
        </w:trPr>
        <w:tc>
          <w:tcPr>
            <w:tcW w:w="4887" w:type="dxa"/>
            <w:tcBorders>
              <w:top w:val="single" w:sz="6" w:space="0" w:color="000000"/>
              <w:bottom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2023</w:t>
            </w:r>
          </w:p>
        </w:tc>
        <w:tc>
          <w:tcPr>
            <w:tcW w:w="3056" w:type="dxa"/>
            <w:tcBorders>
              <w:top w:val="single" w:sz="6" w:space="0" w:color="000000"/>
              <w:left w:val="single" w:sz="6" w:space="0" w:color="000000"/>
              <w:bottom w:val="single" w:sz="6" w:space="0" w:color="000000"/>
            </w:tcBorders>
          </w:tcPr>
          <w:p>
            <w:pPr>
              <w:pStyle w:val="TableParagraph"/>
              <w:spacing w:before="36"/>
              <w:ind w:left="1183" w:right="1179"/>
              <w:rPr>
                <w:rFonts w:ascii="Times New Roman"/>
                <w:sz w:val="21"/>
              </w:rPr>
            </w:pPr>
            <w:r>
              <w:rPr>
                <w:rFonts w:ascii="Times New Roman"/>
                <w:sz w:val="21"/>
              </w:rPr>
              <w:t>399</w:t>
            </w:r>
          </w:p>
        </w:tc>
      </w:tr>
      <w:tr>
        <w:trPr>
          <w:trHeight w:val="343" w:hRule="exact"/>
        </w:trPr>
        <w:tc>
          <w:tcPr>
            <w:tcW w:w="4887" w:type="dxa"/>
            <w:tcBorders>
              <w:top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2028</w:t>
            </w:r>
          </w:p>
        </w:tc>
        <w:tc>
          <w:tcPr>
            <w:tcW w:w="3056" w:type="dxa"/>
            <w:tcBorders>
              <w:top w:val="single" w:sz="6" w:space="0" w:color="000000"/>
              <w:left w:val="single" w:sz="6" w:space="0" w:color="000000"/>
            </w:tcBorders>
          </w:tcPr>
          <w:p>
            <w:pPr>
              <w:pStyle w:val="TableParagraph"/>
              <w:spacing w:before="36"/>
              <w:ind w:left="1183" w:right="1179"/>
              <w:rPr>
                <w:rFonts w:ascii="Times New Roman"/>
                <w:sz w:val="21"/>
              </w:rPr>
            </w:pPr>
            <w:r>
              <w:rPr>
                <w:rFonts w:ascii="Times New Roman"/>
                <w:sz w:val="21"/>
              </w:rPr>
              <w:t>496</w:t>
            </w:r>
          </w:p>
        </w:tc>
      </w:tr>
    </w:tbl>
    <w:p>
      <w:pPr>
        <w:pStyle w:val="BodyText"/>
        <w:spacing w:before="8"/>
        <w:rPr>
          <w:b/>
          <w:sz w:val="28"/>
        </w:rPr>
      </w:pPr>
    </w:p>
    <w:p>
      <w:pPr>
        <w:spacing w:before="0"/>
        <w:ind w:left="700" w:right="0" w:firstLine="0"/>
        <w:jc w:val="left"/>
        <w:rPr>
          <w:b/>
          <w:sz w:val="24"/>
        </w:rPr>
      </w:pPr>
      <w:r>
        <w:rPr>
          <w:b/>
          <w:sz w:val="24"/>
        </w:rPr>
        <w:t>十一、施工工期</w:t>
      </w:r>
    </w:p>
    <w:p>
      <w:pPr>
        <w:pStyle w:val="BodyText"/>
        <w:spacing w:before="151"/>
        <w:ind w:left="698"/>
      </w:pPr>
      <w:r>
        <w:rPr/>
        <w:t>根据现场调查，工程建设期 </w:t>
      </w:r>
      <w:r>
        <w:rPr>
          <w:rFonts w:ascii="Times New Roman" w:eastAsia="Times New Roman"/>
        </w:rPr>
        <w:t>6 </w:t>
      </w:r>
      <w:r>
        <w:rPr/>
        <w:t>个月，</w:t>
      </w:r>
      <w:r>
        <w:rPr>
          <w:rFonts w:ascii="Times New Roman" w:eastAsia="Times New Roman"/>
        </w:rPr>
        <w:t>2017 </w:t>
      </w:r>
      <w:r>
        <w:rPr/>
        <w:t>年 </w:t>
      </w:r>
      <w:r>
        <w:rPr>
          <w:rFonts w:ascii="Times New Roman" w:eastAsia="Times New Roman"/>
        </w:rPr>
        <w:t>6 </w:t>
      </w:r>
      <w:r>
        <w:rPr/>
        <w:t>月</w:t>
      </w:r>
      <w:r>
        <w:rPr>
          <w:rFonts w:ascii="Times New Roman" w:eastAsia="Times New Roman"/>
        </w:rPr>
        <w:t>~2017 </w:t>
      </w:r>
      <w:r>
        <w:rPr/>
        <w:t>年 </w:t>
      </w:r>
      <w:r>
        <w:rPr>
          <w:rFonts w:ascii="Times New Roman" w:eastAsia="Times New Roman"/>
        </w:rPr>
        <w:t>12 </w:t>
      </w:r>
      <w:r>
        <w:rPr/>
        <w:t>月。</w:t>
      </w:r>
    </w:p>
    <w:p>
      <w:pPr>
        <w:spacing w:after="0"/>
        <w:sectPr>
          <w:pgSz w:w="11910" w:h="16850"/>
          <w:pgMar w:header="0" w:footer="1141" w:top="1400" w:bottom="1400" w:left="1580" w:right="1560"/>
        </w:sectPr>
      </w:pPr>
    </w:p>
    <w:p>
      <w:pPr>
        <w:spacing w:line="240" w:lineRule="auto"/>
        <w:ind w:left="105" w:right="0" w:firstLine="0"/>
        <w:rPr>
          <w:sz w:val="20"/>
        </w:rPr>
      </w:pPr>
      <w:r>
        <w:rPr>
          <w:rFonts w:ascii="Times New Roman"/>
          <w:spacing w:val="-49"/>
          <w:sz w:val="20"/>
        </w:rPr>
        <w:t> </w:t>
      </w:r>
      <w:r>
        <w:rPr>
          <w:spacing w:val="-49"/>
          <w:sz w:val="20"/>
        </w:rPr>
        <w:pict>
          <v:shape style="width:426.45pt;height:680.15pt;mso-position-horizontal-relative:char;mso-position-vertical-relative:line" type="#_x0000_t202" filled="false" stroked="true" strokeweight=".47998pt" strokecolor="#000000">
            <w10:anchorlock/>
            <v:textbox inset="0,0,0,0">
              <w:txbxContent>
                <w:p>
                  <w:pPr>
                    <w:spacing w:line="274" w:lineRule="exact" w:before="0"/>
                    <w:ind w:left="103" w:right="0" w:firstLine="0"/>
                    <w:jc w:val="both"/>
                    <w:rPr>
                      <w:b/>
                      <w:sz w:val="24"/>
                    </w:rPr>
                  </w:pPr>
                  <w:r>
                    <w:rPr>
                      <w:b/>
                      <w:w w:val="95"/>
                      <w:sz w:val="24"/>
                      <w:shd w:fill="E4E4E4" w:color="auto" w:val="clear"/>
                    </w:rPr>
                    <w:t>与本项目有关的原有污染情况及主要环境问题</w:t>
                  </w:r>
                </w:p>
                <w:p>
                  <w:pPr>
                    <w:pStyle w:val="BodyText"/>
                    <w:spacing w:line="355" w:lineRule="auto" w:before="154"/>
                    <w:ind w:left="103" w:right="100"/>
                    <w:jc w:val="both"/>
                    <w:rPr>
                      <w:rFonts w:ascii="华文中宋" w:eastAsia="华文中宋" w:hint="eastAsia"/>
                    </w:rPr>
                  </w:pPr>
                  <w:r>
                    <w:rPr/>
                    <w:t>   经现场调查，目前项目所在地已动工建设，原有现状为农田，主要分布耕地</w:t>
                  </w:r>
                  <w:r>
                    <w:rPr>
                      <w:spacing w:val="-5"/>
                    </w:rPr>
                    <w:t>及少量树木。</w:t>
                  </w:r>
                  <w:r>
                    <w:rPr>
                      <w:rFonts w:ascii="华文中宋" w:eastAsia="华文中宋" w:hint="eastAsia"/>
                      <w:spacing w:val="-4"/>
                    </w:rPr>
                    <w:t>项目占用土地性质为交通设施用地，不占用基本农田，不占用生态用地，不存在原有污染，无环境遗留问题。</w:t>
                  </w:r>
                </w:p>
              </w:txbxContent>
            </v:textbox>
            <v:stroke dashstyle="solid"/>
          </v:shape>
        </w:pict>
      </w:r>
      <w:r>
        <w:rPr>
          <w:spacing w:val="-49"/>
          <w:sz w:val="20"/>
        </w:rPr>
      </w:r>
    </w:p>
    <w:p>
      <w:pPr>
        <w:spacing w:after="0" w:line="240" w:lineRule="auto"/>
        <w:rPr>
          <w:sz w:val="20"/>
        </w:rPr>
        <w:sectPr>
          <w:pgSz w:w="11910" w:h="16850"/>
          <w:pgMar w:header="0" w:footer="1141" w:top="1440" w:bottom="1400" w:left="1580" w:right="1580"/>
        </w:sectPr>
      </w:pPr>
    </w:p>
    <w:p>
      <w:pPr>
        <w:tabs>
          <w:tab w:pos="7368" w:val="left" w:leader="none"/>
        </w:tabs>
        <w:spacing w:line="360" w:lineRule="auto" w:before="0"/>
        <w:ind w:left="217" w:right="114" w:hanging="80"/>
        <w:jc w:val="left"/>
        <w:rPr>
          <w:b/>
          <w:sz w:val="28"/>
        </w:rPr>
      </w:pPr>
      <w:r>
        <w:rPr/>
        <w:pict>
          <v:group style="position:absolute;margin-left:88.094002pt;margin-top:100.929977pt;width:419.4pt;height:662.8pt;mso-position-horizontal-relative:page;mso-position-vertical-relative:page;z-index:-199048" coordorigin="1762,2019" coordsize="8388,13256">
            <v:line style="position:absolute" from="1776,2028" to="10135,2028" stroked="true" strokeweight=".48pt" strokecolor="#000000">
              <v:stroke dashstyle="solid"/>
            </v:line>
            <v:line style="position:absolute" from="1772,2024" to="1772,15264" stroked="true" strokeweight=".48pt" strokecolor="#000000">
              <v:stroke dashstyle="solid"/>
            </v:line>
            <v:line style="position:absolute" from="1767,15269" to="1776,15269" stroked="true" strokeweight=".47998pt" strokecolor="#000000">
              <v:stroke dashstyle="solid"/>
            </v:line>
            <v:line style="position:absolute" from="1767,15269" to="1776,15269" stroked="true" strokeweight=".47998pt" strokecolor="#000000">
              <v:stroke dashstyle="solid"/>
            </v:line>
            <v:line style="position:absolute" from="1776,15269" to="10135,15269" stroked="true" strokeweight=".47998pt" strokecolor="#000000">
              <v:stroke dashstyle="solid"/>
            </v:line>
            <v:line style="position:absolute" from="10140,2024" to="10140,15264" stroked="true" strokeweight=".48001pt" strokecolor="#000000">
              <v:stroke dashstyle="solid"/>
            </v:line>
            <v:line style="position:absolute" from="10135,15269" to="10144,15269" stroked="true" strokeweight=".47998pt" strokecolor="#000000">
              <v:stroke dashstyle="solid"/>
            </v:line>
            <v:line style="position:absolute" from="10135,15269" to="10144,15269" stroked="true" strokeweight=".47998pt" strokecolor="#000000">
              <v:stroke dashstyle="solid"/>
            </v:line>
            <w10:wrap type="none"/>
          </v:group>
        </w:pict>
      </w:r>
      <w:r>
        <w:rPr>
          <w:b/>
          <w:sz w:val="30"/>
        </w:rPr>
        <w:t>建设项目所在地自然环境社会环境简况</w:t>
        <w:tab/>
      </w:r>
      <w:r>
        <w:rPr>
          <w:b/>
          <w:w w:val="95"/>
          <w:sz w:val="30"/>
        </w:rPr>
        <w:t>（表二） </w:t>
      </w:r>
      <w:r>
        <w:rPr>
          <w:b/>
          <w:spacing w:val="-27"/>
          <w:sz w:val="28"/>
        </w:rPr>
        <w:t>自</w:t>
      </w:r>
      <w:r>
        <w:rPr>
          <w:b/>
          <w:spacing w:val="-29"/>
          <w:sz w:val="28"/>
        </w:rPr>
        <w:t>然</w:t>
      </w:r>
      <w:r>
        <w:rPr>
          <w:b/>
          <w:spacing w:val="-27"/>
          <w:sz w:val="28"/>
        </w:rPr>
        <w:t>环</w:t>
      </w:r>
      <w:r>
        <w:rPr>
          <w:b/>
          <w:spacing w:val="-29"/>
          <w:sz w:val="28"/>
        </w:rPr>
        <w:t>境</w:t>
      </w:r>
      <w:r>
        <w:rPr>
          <w:b/>
          <w:spacing w:val="-27"/>
          <w:sz w:val="28"/>
        </w:rPr>
        <w:t>简</w:t>
      </w:r>
      <w:r>
        <w:rPr>
          <w:b/>
          <w:spacing w:val="-29"/>
          <w:sz w:val="28"/>
        </w:rPr>
        <w:t>况</w:t>
      </w:r>
      <w:r>
        <w:rPr>
          <w:b/>
          <w:spacing w:val="-27"/>
          <w:sz w:val="28"/>
        </w:rPr>
        <w:t>（</w:t>
      </w:r>
      <w:r>
        <w:rPr>
          <w:b/>
          <w:spacing w:val="-29"/>
          <w:sz w:val="28"/>
        </w:rPr>
        <w:t>地形</w:t>
      </w:r>
      <w:r>
        <w:rPr>
          <w:b/>
          <w:spacing w:val="-27"/>
          <w:sz w:val="28"/>
        </w:rPr>
        <w:t>、</w:t>
      </w:r>
      <w:r>
        <w:rPr>
          <w:b/>
          <w:spacing w:val="-29"/>
          <w:sz w:val="28"/>
        </w:rPr>
        <w:t>地</w:t>
      </w:r>
      <w:r>
        <w:rPr>
          <w:b/>
          <w:spacing w:val="-27"/>
          <w:sz w:val="28"/>
        </w:rPr>
        <w:t>貌</w:t>
      </w:r>
      <w:r>
        <w:rPr>
          <w:b/>
          <w:spacing w:val="-29"/>
          <w:sz w:val="28"/>
        </w:rPr>
        <w:t>、</w:t>
      </w:r>
      <w:r>
        <w:rPr>
          <w:b/>
          <w:spacing w:val="-27"/>
          <w:sz w:val="28"/>
        </w:rPr>
        <w:t>地</w:t>
      </w:r>
      <w:r>
        <w:rPr>
          <w:b/>
          <w:spacing w:val="-29"/>
          <w:sz w:val="28"/>
        </w:rPr>
        <w:t>质</w:t>
      </w:r>
      <w:r>
        <w:rPr>
          <w:b/>
          <w:spacing w:val="-27"/>
          <w:sz w:val="28"/>
        </w:rPr>
        <w:t>、</w:t>
      </w:r>
      <w:r>
        <w:rPr>
          <w:b/>
          <w:spacing w:val="-29"/>
          <w:sz w:val="28"/>
        </w:rPr>
        <w:t>气候</w:t>
      </w:r>
      <w:r>
        <w:rPr>
          <w:b/>
          <w:spacing w:val="-27"/>
          <w:sz w:val="28"/>
        </w:rPr>
        <w:t>、</w:t>
      </w:r>
      <w:r>
        <w:rPr>
          <w:b/>
          <w:spacing w:val="-29"/>
          <w:sz w:val="28"/>
        </w:rPr>
        <w:t>气</w:t>
      </w:r>
      <w:r>
        <w:rPr>
          <w:b/>
          <w:spacing w:val="-27"/>
          <w:sz w:val="28"/>
        </w:rPr>
        <w:t>象</w:t>
      </w:r>
      <w:r>
        <w:rPr>
          <w:b/>
          <w:spacing w:val="-29"/>
          <w:sz w:val="28"/>
        </w:rPr>
        <w:t>、</w:t>
      </w:r>
      <w:r>
        <w:rPr>
          <w:b/>
          <w:spacing w:val="-27"/>
          <w:sz w:val="28"/>
        </w:rPr>
        <w:t>水</w:t>
      </w:r>
      <w:r>
        <w:rPr>
          <w:b/>
          <w:spacing w:val="-29"/>
          <w:sz w:val="28"/>
        </w:rPr>
        <w:t>文</w:t>
      </w:r>
      <w:r>
        <w:rPr>
          <w:b/>
          <w:spacing w:val="-27"/>
          <w:sz w:val="28"/>
        </w:rPr>
        <w:t>、</w:t>
      </w:r>
      <w:r>
        <w:rPr>
          <w:b/>
          <w:spacing w:val="-29"/>
          <w:sz w:val="28"/>
        </w:rPr>
        <w:t>植被</w:t>
      </w:r>
      <w:r>
        <w:rPr>
          <w:b/>
          <w:spacing w:val="-27"/>
          <w:sz w:val="28"/>
        </w:rPr>
        <w:t>、</w:t>
      </w:r>
      <w:r>
        <w:rPr>
          <w:b/>
          <w:spacing w:val="-29"/>
          <w:sz w:val="28"/>
        </w:rPr>
        <w:t>生</w:t>
      </w:r>
      <w:r>
        <w:rPr>
          <w:b/>
          <w:spacing w:val="-27"/>
          <w:sz w:val="28"/>
        </w:rPr>
        <w:t>物</w:t>
      </w:r>
      <w:r>
        <w:rPr>
          <w:b/>
          <w:spacing w:val="-29"/>
          <w:sz w:val="28"/>
        </w:rPr>
        <w:t>多</w:t>
      </w:r>
      <w:r>
        <w:rPr>
          <w:b/>
          <w:sz w:val="28"/>
        </w:rPr>
        <w:t>样</w:t>
      </w:r>
      <w:r>
        <w:rPr>
          <w:b/>
          <w:spacing w:val="-27"/>
          <w:w w:val="99"/>
          <w:sz w:val="28"/>
        </w:rPr>
        <w:t>性等</w:t>
      </w:r>
      <w:r>
        <w:rPr>
          <w:b/>
          <w:spacing w:val="-157"/>
          <w:w w:val="99"/>
          <w:sz w:val="28"/>
        </w:rPr>
        <w:t>）</w:t>
      </w:r>
      <w:r>
        <w:rPr>
          <w:b/>
          <w:w w:val="99"/>
          <w:sz w:val="28"/>
        </w:rPr>
        <w:t>：</w:t>
      </w:r>
    </w:p>
    <w:p>
      <w:pPr>
        <w:pStyle w:val="Heading3"/>
        <w:spacing w:before="57"/>
        <w:ind w:left="699"/>
      </w:pPr>
      <w:r>
        <w:rPr>
          <w:w w:val="95"/>
        </w:rPr>
        <w:t>一、地理位置</w:t>
      </w:r>
    </w:p>
    <w:p>
      <w:pPr>
        <w:pStyle w:val="BodyText"/>
        <w:spacing w:line="345" w:lineRule="auto" w:before="153"/>
        <w:ind w:left="217" w:right="350" w:firstLine="479"/>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107°42′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6"/>
        <w:ind w:left="699" w:right="3894"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2"/>
        <w:ind w:left="217" w:right="114" w:firstLine="479"/>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2"/>
        <w:ind w:left="217" w:right="234" w:firstLine="479"/>
      </w:pPr>
      <w:r>
        <w:rPr/>
        <w:t>境内地貌属于川东褶皱剥蚀</w:t>
      </w:r>
      <w:r>
        <w:rPr>
          <w:rFonts w:ascii="Times New Roman" w:eastAsia="Times New Roman"/>
        </w:rPr>
        <w:t>-</w:t>
      </w:r>
      <w:r>
        <w:rPr>
          <w:spacing w:val="-7"/>
        </w:rPr>
        <w:t>浸蚀低山丘陵岭谷地貌区。背斜低山，紧密狭窄；向斜为丘，平缓开阔，中间常有平坝展开。</w:t>
      </w:r>
    </w:p>
    <w:p>
      <w:pPr>
        <w:pStyle w:val="Heading3"/>
        <w:spacing w:before="55"/>
        <w:ind w:left="699"/>
      </w:pPr>
      <w:r>
        <w:rPr/>
        <w:t>三、气象</w:t>
      </w:r>
    </w:p>
    <w:p>
      <w:pPr>
        <w:pStyle w:val="BodyText"/>
        <w:spacing w:line="357" w:lineRule="auto" w:before="152"/>
        <w:ind w:left="217" w:right="114" w:firstLine="479"/>
      </w:pPr>
      <w:r>
        <w:rPr>
          <w:spacing w:val="-7"/>
        </w:rPr>
        <w:t>开江县境属于中亚热带湿润季风气候区，气候温和，热量充足，四季分明， </w:t>
      </w:r>
      <w:r>
        <w:rPr>
          <w:spacing w:val="-6"/>
        </w:rPr>
        <w:t>雨量丰沛，季风气候明显，立体气候突出。开江县气候温润，雨量充沛，年均</w:t>
      </w:r>
      <w:r>
        <w:rPr>
          <w:spacing w:val="-34"/>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6" w:lineRule="auto" w:before="5"/>
        <w:ind w:left="217" w:right="114" w:firstLine="479"/>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5" w:lineRule="auto" w:before="57"/>
        <w:ind w:left="217" w:right="114" w:firstLine="479"/>
      </w:pPr>
      <w:r>
        <w:rPr/>
        <w:t>设计流域位于四川盆地东部，属亚热带润湿气候区，具有冬暖、春早、夏热、秋雨、多伏旱、日照适宜、无霜期长等特点。</w:t>
      </w:r>
    </w:p>
    <w:p>
      <w:pPr>
        <w:pStyle w:val="BodyText"/>
        <w:spacing w:line="336" w:lineRule="auto" w:before="38"/>
        <w:ind w:left="217" w:right="234" w:firstLine="479"/>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p>
    <w:p>
      <w:pPr>
        <w:pStyle w:val="BodyText"/>
        <w:spacing w:before="29"/>
        <w:ind w:left="217"/>
      </w:pPr>
      <w:r>
        <w:rPr>
          <w:rFonts w:ascii="Times New Roman" w:eastAsia="Times New Roman"/>
          <w:w w:val="95"/>
        </w:rPr>
        <w:t>17.0m/s</w:t>
      </w:r>
      <w:r>
        <w:rPr>
          <w:w w:val="95"/>
        </w:rPr>
        <w:t>。</w:t>
      </w:r>
    </w:p>
    <w:p>
      <w:pPr>
        <w:pStyle w:val="Heading3"/>
        <w:spacing w:before="133"/>
        <w:ind w:left="699"/>
      </w:pPr>
      <w:r>
        <w:rPr>
          <w:w w:val="95"/>
        </w:rPr>
        <w:t>四、动植物资源</w:t>
      </w:r>
    </w:p>
    <w:p>
      <w:pPr>
        <w:spacing w:before="153"/>
        <w:ind w:left="699"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5"/>
        <w:ind w:left="697"/>
      </w:pPr>
      <w:r>
        <w:rPr/>
        <w:t>开江县境内有乔木、灌木、藤木、草木等各种植物 </w:t>
      </w:r>
      <w:r>
        <w:rPr>
          <w:rFonts w:ascii="Times New Roman" w:eastAsia="Times New Roman"/>
        </w:rPr>
        <w:t>700 </w:t>
      </w:r>
      <w:r>
        <w:rPr/>
        <w:t>多种以及蕨苔、苔</w:t>
      </w:r>
    </w:p>
    <w:p>
      <w:pPr>
        <w:spacing w:after="0"/>
        <w:sectPr>
          <w:pgSz w:w="11910" w:h="16850"/>
          <w:pgMar w:header="0" w:footer="1141" w:top="1400" w:bottom="1400" w:left="1660" w:right="1560"/>
        </w:sectPr>
      </w:pPr>
    </w:p>
    <w:p>
      <w:pPr>
        <w:pStyle w:val="BodyText"/>
        <w:spacing w:line="338" w:lineRule="auto" w:before="9"/>
        <w:ind w:left="217" w:right="346"/>
        <w:jc w:val="both"/>
      </w:pPr>
      <w:r>
        <w:rPr/>
        <w:pict>
          <v:group style="position:absolute;margin-left:88.094002pt;margin-top:71.749977pt;width:419.4pt;height:678.4pt;mso-position-horizontal-relative:page;mso-position-vertical-relative:page;z-index:-199024"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ind w:left="699"/>
      </w:pPr>
      <w:r>
        <w:rPr>
          <w:w w:val="95"/>
        </w:rPr>
        <w:t>项目沿线除人工栽植的树木外，无珍惜、濒危植物。</w:t>
      </w:r>
    </w:p>
    <w:p>
      <w:pPr>
        <w:spacing w:before="151"/>
        <w:ind w:left="699"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6"/>
        <w:ind w:left="217" w:right="153" w:firstLine="479"/>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4"/>
        <w:ind w:left="217" w:right="153" w:firstLine="479"/>
      </w:pPr>
      <w:r>
        <w:rPr>
          <w:spacing w:val="-1"/>
        </w:rPr>
        <w:t>新宁河发源于开江县明月坝乡境内的冠子山，由南向北流经明月乡至开江县城（新宁镇</w:t>
      </w:r>
      <w:r>
        <w:rPr>
          <w:spacing w:val="-120"/>
        </w:rPr>
        <w:t>）</w:t>
      </w:r>
      <w:r>
        <w:rPr/>
        <w:t>，然后经普安镇、宝塔乡、回龙镇进入七里峡，经宣汉县的七里乡、柏树乡后在达县亭子镇的高滩平汇入明月江。新宁河集雨面积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11"/>
          <w:sz w:val="16"/>
        </w:rPr>
        <w:t>2</w:t>
      </w:r>
      <w:r>
        <w:rPr>
          <w:spacing w:val="-11"/>
        </w:rPr>
        <w:t>，主河全长 </w:t>
      </w:r>
      <w:r>
        <w:rPr>
          <w:rFonts w:ascii="Times New Roman" w:hAnsi="Times New Roman" w:eastAsia="Times New Roman"/>
        </w:rPr>
        <w:t>42km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w:t>
      </w:r>
    </w:p>
    <w:p>
      <w:pPr>
        <w:pStyle w:val="BodyText"/>
        <w:spacing w:line="345" w:lineRule="auto" w:before="41"/>
        <w:ind w:left="217" w:right="112" w:firstLine="479"/>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。工区位于明月峡背斜北东倾伏段，大地构造处于四川沉降带川东褶皱带东侧的北部边缘，北部为麻柳场向斜穿过，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6"/>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5" w:lineRule="auto" w:before="48"/>
        <w:ind w:left="217" w:right="153" w:firstLine="479"/>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3"/>
        </w:rPr>
        <w:t>，有效库容 </w:t>
      </w:r>
      <w:r>
        <w:rPr>
          <w:rFonts w:ascii="Times New Roman" w:eastAsia="Times New Roman"/>
        </w:rPr>
        <w:t>498.03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5"/>
        </w:rPr>
        <w:t>，死库容 </w:t>
      </w:r>
      <w:r>
        <w:rPr>
          <w:rFonts w:ascii="Times New Roman" w:eastAsia="Times New Roman"/>
        </w:rPr>
        <w:t>35.0</w:t>
      </w:r>
    </w:p>
    <w:p>
      <w:pPr>
        <w:spacing w:after="0" w:line="355" w:lineRule="auto"/>
        <w:rPr>
          <w:rFonts w:ascii="Times New Roman" w:eastAsia="Times New Roman"/>
        </w:rPr>
        <w:sectPr>
          <w:pgSz w:w="11910" w:h="16850"/>
          <w:pgMar w:header="0" w:footer="1141" w:top="1400" w:bottom="1400" w:left="1660" w:right="1640"/>
        </w:sectPr>
      </w:pPr>
    </w:p>
    <w:p>
      <w:pPr>
        <w:pStyle w:val="BodyText"/>
        <w:spacing w:line="338" w:lineRule="auto" w:before="49"/>
        <w:ind w:left="217" w:right="216"/>
      </w:pPr>
      <w:r>
        <w:rPr/>
        <w:pict>
          <v:group style="position:absolute;margin-left:88.094002pt;margin-top:71.749977pt;width:419.4pt;height:675.75pt;mso-position-horizontal-relative:page;mso-position-vertical-relative:page;z-index:-199000" coordorigin="1762,1435" coordsize="8388,13515">
            <v:line style="position:absolute" from="1776,1445" to="10135,1445" stroked="true" strokeweight=".48pt" strokecolor="#000000">
              <v:stroke dashstyle="solid"/>
            </v:line>
            <v:line style="position:absolute" from="1772,1440" to="1772,14940" stroked="true" strokeweight=".48pt" strokecolor="#000000">
              <v:stroke dashstyle="solid"/>
            </v:line>
            <v:line style="position:absolute" from="1767,14944" to="1776,14944" stroked="true" strokeweight=".47998pt" strokecolor="#000000">
              <v:stroke dashstyle="solid"/>
            </v:line>
            <v:line style="position:absolute" from="1767,14944" to="1776,14944" stroked="true" strokeweight=".47998pt" strokecolor="#000000">
              <v:stroke dashstyle="solid"/>
            </v:line>
            <v:line style="position:absolute" from="1776,14944" to="10135,14944" stroked="true" strokeweight=".47998pt" strokecolor="#000000">
              <v:stroke dashstyle="solid"/>
            </v:line>
            <v:line style="position:absolute" from="10140,1440" to="10140,14940" stroked="true" strokeweight=".48001pt" strokecolor="#000000">
              <v:stroke dashstyle="solid"/>
            </v:line>
            <v:line style="position:absolute" from="10135,14944" to="10144,14944" stroked="true" strokeweight=".47998pt" strokecolor="#000000">
              <v:stroke dashstyle="solid"/>
            </v:line>
            <v:line style="position:absolute" from="10135,14944" to="10144,14944" stroked="true" strokeweight=".47998pt" strokecolor="#000000">
              <v:stroke dashstyle="solid"/>
            </v:line>
            <w10:wrap type="none"/>
          </v:group>
        </w:pict>
      </w:r>
      <w:r>
        <w:rPr>
          <w:spacing w:val="-30"/>
        </w:rPr>
        <w:t>万 </w:t>
      </w:r>
      <w:r>
        <w:rPr>
          <w:rFonts w:ascii="Times New Roman" w:eastAsia="Times New Roman"/>
        </w:rPr>
        <w:t>m</w:t>
      </w:r>
      <w:r>
        <w:rPr>
          <w:rFonts w:ascii="Times New Roman" w:eastAsia="Times New Roman"/>
          <w:position w:val="11"/>
          <w:sz w:val="16"/>
        </w:rPr>
        <w:t>3</w:t>
      </w:r>
      <w:r>
        <w:rPr>
          <w:spacing w:val="-10"/>
        </w:rPr>
        <w:t>。它兼有削减水库下游河段洪水，减轻洪水灾害，提高下游河段防洪能力作用。</w:t>
      </w:r>
    </w:p>
    <w:p>
      <w:pPr>
        <w:pStyle w:val="BodyText"/>
        <w:spacing w:before="53"/>
        <w:ind w:left="697"/>
      </w:pPr>
      <w:r>
        <w:rPr/>
        <w:t>左岸澄清河</w:t>
      </w:r>
    </w:p>
    <w:p>
      <w:pPr>
        <w:pStyle w:val="BodyText"/>
        <w:spacing w:line="345" w:lineRule="auto" w:before="153"/>
        <w:ind w:left="217" w:right="101" w:firstLine="479"/>
      </w:pPr>
      <w:r>
        <w:rPr>
          <w:spacing w:val="-2"/>
        </w:rPr>
        <w:t>澄清河为新宁河中上游左岸主流，发源于开江明月坝乡境内的冠子山，海</w:t>
      </w:r>
      <w:r>
        <w:rPr>
          <w:spacing w:val="-17"/>
        </w:rPr>
        <w:t>拔高程 </w:t>
      </w:r>
      <w:r>
        <w:rPr>
          <w:rFonts w:ascii="Times New Roman" w:hAnsi="Times New Roman" w:eastAsia="Times New Roman"/>
        </w:rPr>
        <w:t>983.0m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32.8km</w:t>
      </w:r>
      <w:r>
        <w:rPr>
          <w:rFonts w:ascii="Times New Roman" w:hAnsi="Times New Roman" w:eastAsia="Times New Roman"/>
          <w:spacing w:val="1"/>
          <w:w w:val="100"/>
          <w:position w:val="11"/>
          <w:sz w:val="16"/>
        </w:rPr>
        <w:t>2</w:t>
      </w:r>
      <w:r>
        <w:rPr>
          <w:spacing w:val="-44"/>
        </w:rPr>
        <w:t>，河长 </w:t>
      </w:r>
      <w:r>
        <w:rPr>
          <w:rFonts w:ascii="Times New Roman" w:hAnsi="Times New Roman" w:eastAsia="Times New Roman"/>
          <w:spacing w:val="-10"/>
        </w:rPr>
        <w:t>1</w:t>
      </w:r>
      <w:r>
        <w:rPr>
          <w:rFonts w:ascii="Times New Roman" w:hAnsi="Times New Roman" w:eastAsia="Times New Roman"/>
        </w:rPr>
        <w:t>1.4km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rPr>
        <w:t>m</w:t>
      </w:r>
      <w:r>
        <w:rPr>
          <w:rFonts w:ascii="Times New Roman" w:hAnsi="Times New Roman" w:eastAsia="Times New Roman"/>
          <w:spacing w:val="1"/>
          <w:w w:val="100"/>
          <w:position w:val="11"/>
          <w:sz w:val="16"/>
        </w:rPr>
        <w:t>3</w:t>
      </w:r>
      <w:r>
        <w:rPr>
          <w:spacing w:val="-25"/>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11"/>
          <w:sz w:val="16"/>
        </w:rPr>
        <w:t>3</w:t>
      </w:r>
      <w:r>
        <w:rPr>
          <w:spacing w:val="-12"/>
        </w:rPr>
        <w:t>，死库容 </w:t>
      </w:r>
      <w:r>
        <w:rPr>
          <w:rFonts w:ascii="Times New Roman" w:hAnsi="Times New Roman" w:eastAsia="Times New Roman"/>
        </w:rPr>
        <w:t>35.0 </w:t>
      </w:r>
      <w:r>
        <w:rPr>
          <w:spacing w:val="57"/>
        </w:rPr>
        <w:t>万</w:t>
      </w:r>
      <w:r>
        <w:rPr>
          <w:rFonts w:ascii="Times New Roman" w:hAnsi="Times New Roman" w:eastAsia="Times New Roman"/>
        </w:rPr>
        <w:t>m</w:t>
      </w:r>
      <w:r>
        <w:rPr>
          <w:rFonts w:ascii="Times New Roman" w:hAnsi="Times New Roman" w:eastAsia="Times New Roman"/>
          <w:position w:val="11"/>
          <w:sz w:val="16"/>
        </w:rPr>
        <w:t>3</w:t>
      </w:r>
      <w:r>
        <w:rPr>
          <w:spacing w:val="-1"/>
        </w:rPr>
        <w:t>，对水库下游河道有一定的调蓄影响。</w:t>
      </w:r>
    </w:p>
    <w:p>
      <w:pPr>
        <w:pStyle w:val="BodyText"/>
        <w:spacing w:before="1"/>
        <w:ind w:left="697"/>
      </w:pPr>
      <w:r>
        <w:rPr/>
        <w:t>左岸支流长田河</w:t>
      </w:r>
    </w:p>
    <w:p>
      <w:pPr>
        <w:pStyle w:val="BodyText"/>
        <w:spacing w:line="345" w:lineRule="auto" w:before="154"/>
        <w:ind w:left="217" w:right="153" w:firstLine="479"/>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8"/>
        </w:rPr>
        <w:t>堂处入开江县长田乡，继续北流，经陈家岩、罗家衙门口、大堰口、雷打石等， </w:t>
      </w:r>
      <w:r>
        <w:rPr>
          <w:spacing w:val="-11"/>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11"/>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8"/>
        <w:ind w:left="697"/>
      </w:pPr>
      <w:r>
        <w:rPr/>
        <w:t>右岸永兴河</w:t>
      </w:r>
    </w:p>
    <w:p>
      <w:pPr>
        <w:pStyle w:val="BodyText"/>
        <w:spacing w:line="352" w:lineRule="auto" w:before="151"/>
        <w:ind w:left="217" w:right="234" w:firstLine="479"/>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江县永兴镇，继续西南流，经糖房坝、杨家坝、红岩子、西牛牌等，于天心坝处（普安镇双河口）</w:t>
      </w:r>
      <w:r>
        <w:rPr>
          <w:spacing w:val="-7"/>
        </w:rPr>
        <w:t>汇入干流新宁河右岸，控制流域面积为 </w:t>
      </w:r>
      <w:r>
        <w:rPr>
          <w:rFonts w:ascii="Times New Roman" w:eastAsia="Times New Roman"/>
        </w:rPr>
        <w:t>88.3km</w:t>
      </w:r>
      <w:r>
        <w:rPr>
          <w:rFonts w:ascii="Times New Roman" w:eastAsia="Times New Roman"/>
          <w:position w:val="11"/>
          <w:sz w:val="16"/>
        </w:rPr>
        <w:t>2</w:t>
      </w:r>
      <w:r>
        <w:rPr/>
        <w:t>，河长</w:t>
      </w:r>
    </w:p>
    <w:p>
      <w:pPr>
        <w:pStyle w:val="BodyText"/>
        <w:spacing w:line="338" w:lineRule="auto"/>
        <w:ind w:left="217" w:right="146"/>
      </w:pPr>
      <w:r>
        <w:rPr>
          <w:rFonts w:ascii="Times New Roman" w:hAnsi="Times New Roman" w:eastAsia="Times New Roman"/>
        </w:rPr>
        <w:t>26.0km</w:t>
      </w:r>
      <w:r>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BodyText"/>
        <w:spacing w:before="65"/>
        <w:ind w:left="697"/>
      </w:pPr>
      <w:r>
        <w:rPr/>
        <w:t>本项目受纳水体为新宁河，不涉及饮用水源保护区。</w:t>
      </w:r>
    </w:p>
    <w:p>
      <w:pPr>
        <w:spacing w:after="0"/>
        <w:sectPr>
          <w:pgSz w:w="11910" w:h="16850"/>
          <w:pgMar w:header="0" w:footer="1141" w:top="1360" w:bottom="1400" w:left="1660" w:right="1640"/>
        </w:sectPr>
      </w:pPr>
    </w:p>
    <w:p>
      <w:pPr>
        <w:spacing w:line="240" w:lineRule="auto"/>
        <w:ind w:left="106" w:right="0" w:firstLine="0"/>
        <w:rPr>
          <w:sz w:val="20"/>
        </w:rPr>
      </w:pPr>
      <w:r>
        <w:rPr>
          <w:rFonts w:ascii="Times New Roman"/>
          <w:spacing w:val="-49"/>
          <w:sz w:val="20"/>
        </w:rPr>
        <w:t> </w:t>
      </w:r>
      <w:r>
        <w:rPr>
          <w:spacing w:val="-49"/>
          <w:sz w:val="20"/>
        </w:rPr>
        <w:pict>
          <v:shape style="width:418.4pt;height:676.2pt;mso-position-horizontal-relative:char;mso-position-vertical-relative:line" type="#_x0000_t202" filled="false" stroked="true" strokeweight=".48001pt" strokecolor="#000000">
            <w10:anchorlock/>
            <v:textbox inset="0,0,0,0">
              <w:txbxContent>
                <w:p>
                  <w:pPr>
                    <w:spacing w:line="274" w:lineRule="exact" w:before="0"/>
                    <w:ind w:left="583" w:right="0" w:firstLine="0"/>
                    <w:jc w:val="left"/>
                    <w:rPr>
                      <w:b/>
                      <w:sz w:val="24"/>
                    </w:rPr>
                  </w:pPr>
                  <w:r>
                    <w:rPr>
                      <w:b/>
                      <w:sz w:val="24"/>
                    </w:rPr>
                    <w:t>六、土壤</w:t>
                  </w:r>
                </w:p>
                <w:p>
                  <w:pPr>
                    <w:pStyle w:val="BodyText"/>
                    <w:spacing w:line="336" w:lineRule="auto" w:before="154"/>
                    <w:ind w:left="100" w:right="101" w:firstLine="479"/>
                    <w:jc w:val="both"/>
                  </w:pPr>
                  <w:r>
                    <w:rPr>
                      <w:spacing w:val="-5"/>
                    </w:rPr>
                    <w:t>开江县土壤面积有 </w:t>
                  </w:r>
                  <w:r>
                    <w:rPr>
                      <w:rFonts w:ascii="Times New Roman" w:eastAsia="Times New Roman"/>
                    </w:rPr>
                    <w:t>103300 </w:t>
                  </w:r>
                  <w:r>
                    <w:rPr>
                      <w:spacing w:val="-4"/>
                    </w:rPr>
                    <w:t>公顷，非适宜农业土壤面积 </w:t>
                  </w:r>
                  <w:r>
                    <w:rPr>
                      <w:rFonts w:ascii="Times New Roman" w:eastAsia="Times New Roman"/>
                    </w:rPr>
                    <w:t>56868 </w:t>
                  </w:r>
                  <w:r>
                    <w:rPr/>
                    <w:t>公顷，占土</w:t>
                  </w:r>
                  <w:r>
                    <w:rPr>
                      <w:spacing w:val="-10"/>
                    </w:rPr>
                    <w:t>壤总面积的 </w:t>
                  </w:r>
                  <w:r>
                    <w:rPr>
                      <w:rFonts w:ascii="Times New Roman" w:eastAsia="Times New Roman"/>
                    </w:rPr>
                    <w:t>55.05%</w:t>
                  </w:r>
                  <w:r>
                    <w:rPr>
                      <w:spacing w:val="-7"/>
                    </w:rPr>
                    <w:t>，农业土壤面积 </w:t>
                  </w:r>
                  <w:r>
                    <w:rPr>
                      <w:rFonts w:ascii="Times New Roman" w:eastAsia="Times New Roman"/>
                    </w:rPr>
                    <w:t>46432 </w:t>
                  </w:r>
                  <w:r>
                    <w:rPr>
                      <w:spacing w:val="-5"/>
                    </w:rPr>
                    <w:t>公顷，占土壤总面积的 </w:t>
                  </w:r>
                  <w:r>
                    <w:rPr>
                      <w:rFonts w:ascii="Times New Roman" w:eastAsia="Times New Roman"/>
                    </w:rPr>
                    <w:t>44.95%</w:t>
                  </w:r>
                  <w:r>
                    <w:rPr/>
                    <w:t>。农</w:t>
                  </w:r>
                  <w:r>
                    <w:rPr>
                      <w:spacing w:val="-9"/>
                    </w:rPr>
                    <w:t>业土壤又分为 </w:t>
                  </w:r>
                  <w:r>
                    <w:rPr>
                      <w:rFonts w:ascii="Times New Roman" w:eastAsia="Times New Roman"/>
                    </w:rPr>
                    <w:t>2 </w:t>
                  </w:r>
                  <w:r>
                    <w:rPr>
                      <w:spacing w:val="-7"/>
                    </w:rPr>
                    <w:t>个土类，</w:t>
                  </w:r>
                  <w:r>
                    <w:rPr>
                      <w:rFonts w:ascii="Times New Roman" w:eastAsia="Times New Roman"/>
                      <w:spacing w:val="-11"/>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50"/>
          <w:pgMar w:header="0" w:footer="1141" w:top="1440" w:bottom="1400" w:left="1660" w:right="1660"/>
        </w:sectPr>
      </w:pPr>
    </w:p>
    <w:p>
      <w:pPr>
        <w:pStyle w:val="Heading1"/>
        <w:tabs>
          <w:tab w:pos="7408" w:val="left" w:leader="none"/>
        </w:tabs>
        <w:ind w:left="178"/>
      </w:pPr>
      <w:r>
        <w:rPr/>
        <w:t>环境质量状况</w:t>
        <w:tab/>
      </w:r>
      <w:r>
        <w:rPr>
          <w:w w:val="95"/>
        </w:rPr>
        <w:t>（表三）</w:t>
      </w:r>
    </w:p>
    <w:p>
      <w:pPr>
        <w:pStyle w:val="BodyText"/>
        <w:spacing w:before="7"/>
        <w:rPr>
          <w:b/>
          <w:sz w:val="25"/>
        </w:rPr>
      </w:pPr>
    </w:p>
    <w:p>
      <w:pPr>
        <w:pStyle w:val="Heading3"/>
        <w:spacing w:line="357" w:lineRule="auto" w:before="1"/>
        <w:ind w:left="226" w:right="195"/>
      </w:pPr>
      <w:r>
        <w:rPr/>
        <w:t>建设项目所在地区域环境质量现状及主要环境问题（环境空气、地面水、声环</w:t>
      </w:r>
      <w:r>
        <w:rPr>
          <w:w w:val="99"/>
        </w:rPr>
        <w:t>境、生态环境等</w:t>
      </w:r>
      <w:r>
        <w:rPr>
          <w:spacing w:val="-120"/>
          <w:w w:val="99"/>
        </w:rPr>
        <w:t>）</w:t>
      </w:r>
      <w:r>
        <w:rPr>
          <w:w w:val="99"/>
        </w:rPr>
        <w:t>：</w:t>
      </w:r>
    </w:p>
    <w:p>
      <w:pPr>
        <w:pStyle w:val="BodyText"/>
        <w:spacing w:before="154"/>
        <w:ind w:left="706"/>
      </w:pPr>
      <w:r>
        <w:rPr/>
        <w:t>本次环评的大气环境质量现状和地表水环境质量现状引用“开江县永安路</w:t>
      </w:r>
    </w:p>
    <w:p>
      <w:pPr>
        <w:pStyle w:val="BodyText"/>
        <w:spacing w:before="154"/>
        <w:ind w:left="226"/>
        <w:rPr>
          <w:rFonts w:ascii="Times New Roman" w:eastAsia="Times New Roman"/>
        </w:rPr>
      </w:pPr>
      <w:r>
        <w:rPr/>
        <w:t>、龙池街等市政道路改造及管网工程建设项目的监测报告（川工环监字（</w:t>
      </w:r>
      <w:r>
        <w:rPr>
          <w:rFonts w:ascii="Times New Roman" w:eastAsia="Times New Roman"/>
        </w:rPr>
        <w:t>2017</w:t>
      </w:r>
    </w:p>
    <w:p>
      <w:pPr>
        <w:pStyle w:val="BodyText"/>
        <w:spacing w:before="136"/>
        <w:ind w:left="226"/>
      </w:pPr>
      <w:r>
        <w:rPr>
          <w:spacing w:val="-1"/>
        </w:rPr>
        <w:t>）</w:t>
      </w:r>
      <w:r>
        <w:rPr/>
        <w:t>第2183号</w:t>
      </w:r>
      <w:r>
        <w:rPr>
          <w:spacing w:val="-120"/>
        </w:rPr>
        <w:t>）”</w:t>
      </w:r>
      <w:r>
        <w:rPr/>
        <w:t>。</w:t>
      </w:r>
    </w:p>
    <w:p>
      <w:pPr>
        <w:pStyle w:val="Heading3"/>
        <w:spacing w:before="151"/>
        <w:ind w:left="708"/>
      </w:pPr>
      <w:r>
        <w:rPr>
          <w:w w:val="95"/>
        </w:rPr>
        <w:t>一、环境空气质量现状</w:t>
      </w:r>
    </w:p>
    <w:p>
      <w:pPr>
        <w:pStyle w:val="BodyText"/>
        <w:spacing w:line="336" w:lineRule="auto" w:before="154"/>
        <w:ind w:left="226" w:right="195" w:firstLine="479"/>
      </w:pPr>
      <w:r>
        <w:rPr/>
        <w:t>引用大气监测时间为</w:t>
      </w:r>
      <w:r>
        <w:rPr>
          <w:rFonts w:ascii="Times New Roman" w:eastAsia="Times New Roman"/>
        </w:rPr>
        <w:t>2017</w:t>
      </w:r>
      <w:r>
        <w:rPr/>
        <w:t>年</w:t>
      </w:r>
      <w:r>
        <w:rPr>
          <w:rFonts w:ascii="Times New Roman" w:eastAsia="Times New Roman"/>
        </w:rPr>
        <w:t>8</w:t>
      </w:r>
      <w:r>
        <w:rPr/>
        <w:t>月</w:t>
      </w:r>
      <w:r>
        <w:rPr>
          <w:rFonts w:ascii="Times New Roman" w:eastAsia="Times New Roman"/>
        </w:rPr>
        <w:t>14</w:t>
      </w:r>
      <w:r>
        <w:rPr/>
        <w:t>日</w:t>
      </w:r>
      <w:r>
        <w:rPr>
          <w:rFonts w:ascii="Times New Roman" w:eastAsia="Times New Roman"/>
        </w:rPr>
        <w:t>~8</w:t>
      </w:r>
      <w:r>
        <w:rPr/>
        <w:t>月</w:t>
      </w:r>
      <w:r>
        <w:rPr>
          <w:rFonts w:ascii="Times New Roman" w:eastAsia="Times New Roman"/>
        </w:rPr>
        <w:t>20</w:t>
      </w:r>
      <w:r>
        <w:rPr/>
        <w:t>日，引用监测点位位于本项目北侧</w:t>
      </w:r>
      <w:r>
        <w:rPr>
          <w:rFonts w:ascii="Times New Roman" w:eastAsia="Times New Roman"/>
        </w:rPr>
        <w:t>740m</w:t>
      </w:r>
      <w:r>
        <w:rPr/>
        <w:t>处本次引用数据满足导则的要求，合理有效。</w:t>
      </w:r>
    </w:p>
    <w:p>
      <w:pPr>
        <w:pStyle w:val="Heading3"/>
        <w:spacing w:before="29"/>
        <w:ind w:left="708"/>
      </w:pPr>
      <w:r>
        <w:rPr>
          <w:rFonts w:ascii="Times New Roman" w:eastAsia="Times New Roman"/>
        </w:rPr>
        <w:t>1</w:t>
      </w:r>
      <w:r>
        <w:rPr/>
        <w:t>、引用监测项目</w:t>
      </w:r>
    </w:p>
    <w:p>
      <w:pPr>
        <w:spacing w:before="132"/>
        <w:ind w:left="706" w:right="0" w:firstLine="0"/>
        <w:jc w:val="left"/>
        <w:rPr>
          <w:sz w:val="24"/>
        </w:rPr>
      </w:pPr>
      <w:r>
        <w:rPr>
          <w:sz w:val="24"/>
        </w:rPr>
        <w:t>①</w:t>
      </w:r>
      <w:r>
        <w:rPr>
          <w:rFonts w:ascii="Times New Roman" w:hAnsi="Times New Roman" w:eastAsia="Times New Roman"/>
          <w:sz w:val="24"/>
        </w:rPr>
        <w:t>SO</w:t>
      </w:r>
      <w:r>
        <w:rPr>
          <w:rFonts w:ascii="Times New Roman" w:hAnsi="Times New Roman" w:eastAsia="Times New Roman"/>
          <w:position w:val="-2"/>
          <w:sz w:val="16"/>
        </w:rPr>
        <w:t>2</w:t>
      </w:r>
      <w:r>
        <w:rPr>
          <w:sz w:val="24"/>
        </w:rPr>
        <w:t>；②</w:t>
      </w:r>
      <w:r>
        <w:rPr>
          <w:rFonts w:ascii="Times New Roman" w:hAnsi="Times New Roman" w:eastAsia="Times New Roman"/>
          <w:sz w:val="24"/>
        </w:rPr>
        <w:t>NO</w:t>
      </w:r>
      <w:r>
        <w:rPr>
          <w:rFonts w:ascii="Times New Roman" w:hAnsi="Times New Roman" w:eastAsia="Times New Roman"/>
          <w:position w:val="-2"/>
          <w:sz w:val="16"/>
        </w:rPr>
        <w:t>2</w:t>
      </w:r>
      <w:r>
        <w:rPr>
          <w:sz w:val="24"/>
        </w:rPr>
        <w:t>；③</w:t>
      </w:r>
      <w:r>
        <w:rPr>
          <w:rFonts w:ascii="Times New Roman" w:hAnsi="Times New Roman" w:eastAsia="Times New Roman"/>
          <w:sz w:val="24"/>
        </w:rPr>
        <w:t>PM</w:t>
      </w:r>
      <w:r>
        <w:rPr>
          <w:rFonts w:ascii="Times New Roman" w:hAnsi="Times New Roman" w:eastAsia="Times New Roman"/>
          <w:position w:val="-2"/>
          <w:sz w:val="16"/>
        </w:rPr>
        <w:t>10</w:t>
      </w:r>
      <w:r>
        <w:rPr>
          <w:sz w:val="24"/>
        </w:rPr>
        <w:t>。</w:t>
      </w:r>
    </w:p>
    <w:p>
      <w:pPr>
        <w:pStyle w:val="Heading3"/>
        <w:spacing w:before="122"/>
        <w:ind w:left="708"/>
      </w:pPr>
      <w:r>
        <w:rPr>
          <w:rFonts w:ascii="Times New Roman" w:eastAsia="Times New Roman"/>
          <w:w w:val="95"/>
        </w:rPr>
        <w:t>2</w:t>
      </w:r>
      <w:r>
        <w:rPr>
          <w:w w:val="95"/>
        </w:rPr>
        <w:t>、监测时间及频率</w:t>
      </w:r>
    </w:p>
    <w:p>
      <w:pPr>
        <w:pStyle w:val="BodyText"/>
        <w:spacing w:line="338" w:lineRule="auto" w:before="133"/>
        <w:ind w:left="226" w:right="272" w:firstLine="479"/>
      </w:pPr>
      <w:r>
        <w:rPr>
          <w:spacing w:val="-11"/>
        </w:rPr>
        <w:t>按《环境空气质量标准》</w:t>
      </w:r>
      <w:r>
        <w:rPr/>
        <w:t>（</w:t>
      </w:r>
      <w:r>
        <w:rPr>
          <w:rFonts w:ascii="Times New Roman" w:eastAsia="Times New Roman"/>
        </w:rPr>
        <w:t>GB3095-2012</w:t>
      </w:r>
      <w:r>
        <w:rPr/>
        <w:t>）和国家环保总局颁布的《环境监测技术规范》执行。</w:t>
      </w:r>
    </w:p>
    <w:p>
      <w:pPr>
        <w:pStyle w:val="BodyText"/>
        <w:spacing w:line="328" w:lineRule="auto" w:before="53"/>
        <w:ind w:left="706" w:right="272"/>
      </w:pPr>
      <w:r>
        <w:rPr/>
        <w:t>监测时间：</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w:t>
      </w:r>
      <w:r>
        <w:rPr/>
        <w:t>、</w:t>
      </w:r>
      <w:r>
        <w:rPr>
          <w:rFonts w:ascii="Times New Roman" w:eastAsia="Times New Roman"/>
        </w:rPr>
        <w:t>PM</w:t>
      </w:r>
      <w:r>
        <w:rPr>
          <w:rFonts w:ascii="Times New Roman" w:eastAsia="Times New Roman"/>
          <w:position w:val="-2"/>
          <w:sz w:val="16"/>
        </w:rPr>
        <w:t>10 </w:t>
      </w:r>
      <w:r>
        <w:rPr>
          <w:spacing w:val="-11"/>
        </w:rPr>
        <w:t>监测时间为 </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~8 </w:t>
      </w:r>
      <w:r>
        <w:rPr>
          <w:spacing w:val="-31"/>
        </w:rPr>
        <w:t>月 </w:t>
      </w:r>
      <w:r>
        <w:rPr>
          <w:rFonts w:ascii="Times New Roman" w:eastAsia="Times New Roman"/>
        </w:rPr>
        <w:t>20 </w:t>
      </w:r>
      <w:r>
        <w:rPr/>
        <w:t>日。监测频率：</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 </w:t>
      </w:r>
      <w:r>
        <w:rPr>
          <w:spacing w:val="-1"/>
        </w:rPr>
        <w:t>测小时均值，每天 </w:t>
      </w:r>
      <w:r>
        <w:rPr>
          <w:rFonts w:ascii="Times New Roman" w:eastAsia="Times New Roman"/>
        </w:rPr>
        <w:t>4</w:t>
      </w:r>
      <w:r>
        <w:rPr>
          <w:rFonts w:ascii="Times New Roman" w:eastAsia="Times New Roman"/>
          <w:spacing w:val="59"/>
        </w:rPr>
        <w:t> </w:t>
      </w:r>
      <w:r>
        <w:rPr/>
        <w:t>次采样，每次采样时间不小于</w:t>
      </w:r>
    </w:p>
    <w:p>
      <w:pPr>
        <w:pStyle w:val="BodyText"/>
        <w:spacing w:before="17"/>
        <w:ind w:left="226"/>
      </w:pPr>
      <w:r>
        <w:rPr>
          <w:rFonts w:ascii="Times New Roman" w:eastAsia="Times New Roman"/>
        </w:rPr>
        <w:t>45min </w:t>
      </w:r>
      <w:r>
        <w:rPr>
          <w:spacing w:val="-27"/>
        </w:rPr>
        <w:t>， 采 样 时 间 为 当 地 时 间 </w:t>
      </w:r>
      <w:r>
        <w:rPr>
          <w:rFonts w:ascii="Times New Roman" w:eastAsia="Times New Roman"/>
        </w:rPr>
        <w:t>01:00~2:00 </w:t>
      </w:r>
      <w:r>
        <w:rPr>
          <w:spacing w:val="-28"/>
        </w:rPr>
        <w:t>、 </w:t>
      </w:r>
      <w:r>
        <w:rPr>
          <w:rFonts w:ascii="Times New Roman" w:eastAsia="Times New Roman"/>
        </w:rPr>
        <w:t>7:00~8:00 </w:t>
      </w:r>
      <w:r>
        <w:rPr>
          <w:spacing w:val="-28"/>
        </w:rPr>
        <w:t>、 </w:t>
      </w:r>
      <w:r>
        <w:rPr>
          <w:rFonts w:ascii="Times New Roman" w:eastAsia="Times New Roman"/>
        </w:rPr>
        <w:t>13:00~14:00 </w:t>
      </w:r>
      <w:r>
        <w:rPr/>
        <w:t>、</w:t>
      </w:r>
    </w:p>
    <w:p>
      <w:pPr>
        <w:pStyle w:val="BodyText"/>
        <w:spacing w:before="135"/>
        <w:ind w:left="226"/>
      </w:pPr>
      <w:r>
        <w:rPr>
          <w:rFonts w:ascii="Times New Roman" w:eastAsia="Times New Roman"/>
        </w:rPr>
        <w:t>19:00~20:00 </w:t>
      </w:r>
      <w:r>
        <w:rPr/>
        <w:t>的 </w:t>
      </w:r>
      <w:r>
        <w:rPr>
          <w:rFonts w:ascii="Times New Roman" w:eastAsia="Times New Roman"/>
        </w:rPr>
        <w:t>4 </w:t>
      </w:r>
      <w:r>
        <w:rPr/>
        <w:t>个时间段，</w:t>
      </w:r>
      <w:r>
        <w:rPr>
          <w:rFonts w:ascii="Times New Roman" w:eastAsia="Times New Roman"/>
        </w:rPr>
        <w:t>PM</w:t>
      </w:r>
      <w:r>
        <w:rPr>
          <w:rFonts w:ascii="Times New Roman" w:eastAsia="Times New Roman"/>
          <w:position w:val="-2"/>
          <w:sz w:val="16"/>
        </w:rPr>
        <w:t>10 </w:t>
      </w:r>
      <w:r>
        <w:rPr/>
        <w:t>每天采样一次。</w:t>
      </w:r>
    </w:p>
    <w:p>
      <w:pPr>
        <w:pStyle w:val="Heading3"/>
        <w:spacing w:before="120"/>
        <w:ind w:left="708"/>
      </w:pPr>
      <w:r>
        <w:rPr>
          <w:rFonts w:ascii="Times New Roman" w:eastAsia="Times New Roman"/>
          <w:w w:val="95"/>
        </w:rPr>
        <w:t>3</w:t>
      </w:r>
      <w:r>
        <w:rPr>
          <w:w w:val="95"/>
        </w:rPr>
        <w:t>、引用监测点位</w:t>
      </w:r>
    </w:p>
    <w:p>
      <w:pPr>
        <w:pStyle w:val="BodyText"/>
        <w:spacing w:before="135"/>
        <w:ind w:left="706"/>
      </w:pPr>
      <w:r>
        <w:rPr/>
        <w:t>监测点位布设见表</w:t>
      </w:r>
      <w:r>
        <w:rPr>
          <w:rFonts w:ascii="Times New Roman" w:eastAsia="Times New Roman"/>
        </w:rPr>
        <w:t>3-1</w:t>
      </w:r>
      <w:r>
        <w:rPr/>
        <w:t>。</w:t>
      </w:r>
    </w:p>
    <w:p>
      <w:pPr>
        <w:pStyle w:val="Heading3"/>
        <w:tabs>
          <w:tab w:pos="801" w:val="left" w:leader="none"/>
        </w:tabs>
        <w:spacing w:before="135" w:after="18"/>
        <w:ind w:left="0" w:right="61"/>
        <w:jc w:val="center"/>
      </w:pPr>
      <w:r>
        <w:rPr/>
        <w:t>表</w:t>
      </w:r>
      <w:r>
        <w:rPr>
          <w:rFonts w:ascii="Times New Roman" w:eastAsia="Times New Roman"/>
        </w:rPr>
        <w:t>3-1</w:t>
        <w:tab/>
      </w:r>
      <w:r>
        <w:rPr>
          <w:w w:val="95"/>
        </w:rPr>
        <w:t>大气环境监测点位</w:t>
      </w: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91"/>
        <w:gridCol w:w="3068"/>
        <w:gridCol w:w="2828"/>
      </w:tblGrid>
      <w:tr>
        <w:trPr>
          <w:trHeight w:val="339" w:hRule="exact"/>
        </w:trPr>
        <w:tc>
          <w:tcPr>
            <w:tcW w:w="1291" w:type="dxa"/>
          </w:tcPr>
          <w:p>
            <w:pPr>
              <w:pStyle w:val="TableParagraph"/>
              <w:spacing w:line="270" w:lineRule="exact"/>
              <w:ind w:left="410" w:right="410"/>
              <w:rPr>
                <w:sz w:val="21"/>
              </w:rPr>
            </w:pPr>
            <w:r>
              <w:rPr>
                <w:sz w:val="21"/>
              </w:rPr>
              <w:t>序号</w:t>
            </w:r>
          </w:p>
        </w:tc>
        <w:tc>
          <w:tcPr>
            <w:tcW w:w="3068" w:type="dxa"/>
          </w:tcPr>
          <w:p>
            <w:pPr>
              <w:pStyle w:val="TableParagraph"/>
              <w:spacing w:line="270" w:lineRule="exact"/>
              <w:ind w:left="1003"/>
              <w:jc w:val="left"/>
              <w:rPr>
                <w:sz w:val="21"/>
              </w:rPr>
            </w:pPr>
            <w:r>
              <w:rPr>
                <w:sz w:val="21"/>
              </w:rPr>
              <w:t>监测点位置</w:t>
            </w:r>
          </w:p>
        </w:tc>
        <w:tc>
          <w:tcPr>
            <w:tcW w:w="2828" w:type="dxa"/>
          </w:tcPr>
          <w:p>
            <w:pPr>
              <w:pStyle w:val="TableParagraph"/>
              <w:spacing w:line="285" w:lineRule="exact"/>
              <w:ind w:left="599" w:right="600"/>
              <w:rPr>
                <w:sz w:val="21"/>
              </w:rPr>
            </w:pPr>
            <w:r>
              <w:rPr>
                <w:sz w:val="21"/>
              </w:rPr>
              <w:t>监测</w:t>
            </w:r>
            <w:r>
              <w:rPr>
                <w:rFonts w:ascii="Times New Roman" w:eastAsia="Times New Roman"/>
                <w:sz w:val="21"/>
              </w:rPr>
              <w:t>/</w:t>
            </w:r>
            <w:r>
              <w:rPr>
                <w:sz w:val="21"/>
              </w:rPr>
              <w:t>调研项目</w:t>
            </w:r>
          </w:p>
        </w:tc>
      </w:tr>
      <w:tr>
        <w:trPr>
          <w:trHeight w:val="554" w:hRule="exact"/>
        </w:trPr>
        <w:tc>
          <w:tcPr>
            <w:tcW w:w="1291" w:type="dxa"/>
          </w:tcPr>
          <w:p>
            <w:pPr>
              <w:pStyle w:val="TableParagraph"/>
              <w:spacing w:before="144"/>
              <w:ind w:left="410" w:right="409"/>
              <w:rPr>
                <w:rFonts w:ascii="Times New Roman"/>
                <w:sz w:val="21"/>
              </w:rPr>
            </w:pPr>
            <w:r>
              <w:rPr>
                <w:rFonts w:ascii="Times New Roman"/>
                <w:sz w:val="21"/>
              </w:rPr>
              <w:t>G1</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及管网工程建设项目地上风向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trPr>
          <w:trHeight w:val="554" w:hRule="exact"/>
        </w:trPr>
        <w:tc>
          <w:tcPr>
            <w:tcW w:w="1291" w:type="dxa"/>
          </w:tcPr>
          <w:p>
            <w:pPr>
              <w:pStyle w:val="TableParagraph"/>
              <w:spacing w:before="144"/>
              <w:ind w:left="410" w:right="410"/>
              <w:rPr>
                <w:rFonts w:ascii="Times New Roman"/>
                <w:sz w:val="21"/>
              </w:rPr>
            </w:pPr>
            <w:r>
              <w:rPr>
                <w:rFonts w:ascii="Times New Roman"/>
                <w:sz w:val="21"/>
              </w:rPr>
              <w:t>G2</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及管网工程建设项目地下风向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pPr>
        <w:spacing w:before="202"/>
        <w:ind w:left="708" w:right="0" w:firstLine="0"/>
        <w:jc w:val="left"/>
        <w:rPr>
          <w:b/>
          <w:sz w:val="24"/>
        </w:rPr>
      </w:pPr>
      <w:r>
        <w:rPr>
          <w:rFonts w:ascii="Times New Roman" w:eastAsia="Times New Roman"/>
          <w:b/>
          <w:w w:val="95"/>
          <w:sz w:val="24"/>
        </w:rPr>
        <w:t>4</w:t>
      </w:r>
      <w:r>
        <w:rPr>
          <w:b/>
          <w:w w:val="95"/>
          <w:sz w:val="24"/>
        </w:rPr>
        <w:t>、评价方法、评价标准</w:t>
      </w:r>
    </w:p>
    <w:p>
      <w:pPr>
        <w:pStyle w:val="BodyText"/>
        <w:spacing w:before="135"/>
        <w:ind w:left="706"/>
      </w:pPr>
      <w:r>
        <w:rPr/>
        <w:t>（</w:t>
      </w:r>
      <w:r>
        <w:rPr>
          <w:rFonts w:ascii="Times New Roman" w:eastAsia="Times New Roman"/>
        </w:rPr>
        <w:t>1</w:t>
      </w:r>
      <w:r>
        <w:rPr/>
        <w:t>）评价方法</w:t>
      </w:r>
    </w:p>
    <w:p>
      <w:pPr>
        <w:pStyle w:val="BodyText"/>
        <w:spacing w:before="132"/>
        <w:ind w:left="706"/>
      </w:pPr>
      <w:r>
        <w:rPr/>
        <w:t>采用单项质量指数法进行评价，其评价式为：</w:t>
      </w:r>
    </w:p>
    <w:p>
      <w:pPr>
        <w:pStyle w:val="BodyText"/>
        <w:rPr>
          <w:sz w:val="8"/>
        </w:rPr>
      </w:pPr>
    </w:p>
    <w:p>
      <w:pPr>
        <w:spacing w:after="0"/>
        <w:rPr>
          <w:sz w:val="8"/>
        </w:rPr>
        <w:sectPr>
          <w:pgSz w:w="11910" w:h="16850"/>
          <w:pgMar w:header="0" w:footer="1141" w:top="1400" w:bottom="1400" w:left="1620" w:right="1560"/>
        </w:sectPr>
      </w:pPr>
    </w:p>
    <w:p>
      <w:pPr>
        <w:spacing w:before="225"/>
        <w:ind w:left="0" w:right="0" w:firstLine="0"/>
        <w:jc w:val="right"/>
        <w:rPr>
          <w:rFonts w:ascii="Symbol" w:hAnsi="Symbol"/>
          <w:sz w:val="24"/>
        </w:rPr>
      </w:pPr>
      <w:r>
        <w:rPr/>
        <w:pict>
          <v:line style="position:absolute;mso-position-horizontal-relative:page;mso-position-vertical-relative:paragraph;z-index:-198952" from="300.182922pt,20.336380pt" to="315.907126pt,20.336380pt" stroked="true" strokeweight=".589974pt" strokecolor="#000000">
            <v:stroke dashstyle="solid"/>
            <w10:wrap type="none"/>
          </v:line>
        </w:pict>
      </w:r>
      <w:r>
        <w:rPr/>
        <w:pict>
          <v:group style="position:absolute;margin-left:86.528999pt;margin-top:100.804977pt;width:422.4pt;height:662.2pt;mso-position-horizontal-relative:page;mso-position-vertical-relative:page;z-index:-198928" coordorigin="1731,2016" coordsize="8448,13244">
            <v:line style="position:absolute" from="1745,2031" to="10163,2031" stroked="true" strokeweight=".72pt" strokecolor="#000000">
              <v:stroke dashstyle="solid"/>
            </v:line>
            <v:line style="position:absolute" from="1738,2024" to="1738,15252" stroked="true" strokeweight=".72pt" strokecolor="#000000">
              <v:stroke dashstyle="solid"/>
            </v:line>
            <v:line style="position:absolute" from="1745,15245" to="10163,15245" stroked="true" strokeweight=".72003pt" strokecolor="#000000">
              <v:stroke dashstyle="solid"/>
            </v:line>
            <v:line style="position:absolute" from="10171,2024" to="10171,15252" stroked="true" strokeweight=".72pt" strokecolor="#000000">
              <v:stroke dashstyle="solid"/>
            </v:line>
            <w10:wrap type="none"/>
          </v:group>
        </w:pict>
      </w:r>
      <w:r>
        <w:rPr>
          <w:rFonts w:ascii="Times New Roman" w:hAnsi="Times New Roman"/>
          <w:i/>
          <w:w w:val="105"/>
          <w:sz w:val="24"/>
        </w:rPr>
        <w:t>P</w:t>
      </w:r>
      <w:r>
        <w:rPr>
          <w:rFonts w:ascii="Times New Roman" w:hAnsi="Times New Roman"/>
          <w:i/>
          <w:w w:val="105"/>
          <w:position w:val="-5"/>
          <w:sz w:val="13"/>
        </w:rPr>
        <w:t>i      </w:t>
      </w:r>
      <w:r>
        <w:rPr>
          <w:rFonts w:ascii="Symbol" w:hAnsi="Symbol"/>
          <w:w w:val="105"/>
          <w:sz w:val="24"/>
        </w:rPr>
        <w:t></w:t>
      </w:r>
    </w:p>
    <w:p>
      <w:pPr>
        <w:spacing w:line="266" w:lineRule="auto" w:before="89"/>
        <w:ind w:left="24" w:right="3842" w:firstLine="36"/>
        <w:jc w:val="left"/>
        <w:rPr>
          <w:rFonts w:ascii="Times New Roman"/>
          <w:i/>
          <w:sz w:val="13"/>
        </w:rPr>
      </w:pPr>
      <w:r>
        <w:rPr/>
        <w:br w:type="column"/>
      </w:r>
      <w:r>
        <w:rPr>
          <w:rFonts w:ascii="Times New Roman"/>
          <w:i/>
          <w:w w:val="105"/>
          <w:sz w:val="24"/>
        </w:rPr>
        <w:t>C</w:t>
      </w:r>
      <w:r>
        <w:rPr>
          <w:rFonts w:ascii="Times New Roman"/>
          <w:i/>
          <w:w w:val="105"/>
          <w:position w:val="-5"/>
          <w:sz w:val="13"/>
        </w:rPr>
        <w:t>i </w:t>
      </w:r>
      <w:r>
        <w:rPr>
          <w:rFonts w:ascii="Times New Roman"/>
          <w:i/>
          <w:w w:val="105"/>
          <w:position w:val="6"/>
          <w:sz w:val="24"/>
        </w:rPr>
        <w:t>C</w:t>
      </w:r>
      <w:r>
        <w:rPr>
          <w:rFonts w:ascii="Times New Roman"/>
          <w:i/>
          <w:w w:val="105"/>
          <w:sz w:val="13"/>
        </w:rPr>
        <w:t>oi</w:t>
      </w:r>
    </w:p>
    <w:p>
      <w:pPr>
        <w:spacing w:after="0" w:line="266" w:lineRule="auto"/>
        <w:jc w:val="left"/>
        <w:rPr>
          <w:rFonts w:ascii="Times New Roman"/>
          <w:sz w:val="13"/>
        </w:rPr>
        <w:sectPr>
          <w:type w:val="continuous"/>
          <w:pgSz w:w="11910" w:h="16850"/>
          <w:pgMar w:top="1600" w:bottom="280" w:left="1620" w:right="1560"/>
          <w:cols w:num="2" w:equalWidth="0">
            <w:col w:w="4327" w:space="40"/>
            <w:col w:w="4363"/>
          </w:cols>
        </w:sectPr>
      </w:pPr>
    </w:p>
    <w:p>
      <w:pPr>
        <w:spacing w:before="17"/>
        <w:ind w:left="706" w:right="0" w:firstLine="0"/>
        <w:jc w:val="left"/>
        <w:rPr>
          <w:sz w:val="24"/>
        </w:rPr>
      </w:pPr>
      <w:r>
        <w:rPr/>
        <w:pict>
          <v:group style="position:absolute;margin-left:86.528999pt;margin-top:71.624977pt;width:422.4pt;height:690.15pt;mso-position-horizontal-relative:page;mso-position-vertical-relative:page;z-index:-198904" coordorigin="1731,1432" coordsize="8448,13803">
            <v:line style="position:absolute" from="1745,1447" to="10163,1447" stroked="true" strokeweight=".72pt" strokecolor="#000000">
              <v:stroke dashstyle="solid"/>
            </v:line>
            <v:line style="position:absolute" from="1738,1440" to="1738,15228" stroked="true" strokeweight=".72pt" strokecolor="#000000">
              <v:stroke dashstyle="solid"/>
            </v:line>
            <v:line style="position:absolute" from="1745,15221" to="10163,15221" stroked="true" strokeweight=".72003pt" strokecolor="#000000">
              <v:stroke dashstyle="solid"/>
            </v:line>
            <v:line style="position:absolute" from="10171,1440" to="10171,15228" stroked="true" strokeweight=".72pt" strokecolor="#000000">
              <v:stroke dashstyle="solid"/>
            </v:line>
            <w10:wrap type="none"/>
          </v:group>
        </w:pict>
      </w:r>
      <w:r>
        <w:rPr>
          <w:sz w:val="24"/>
        </w:rPr>
        <w:t>式中： </w:t>
      </w:r>
      <w:r>
        <w:rPr>
          <w:rFonts w:ascii="Times New Roman" w:hAnsi="Times New Roman" w:eastAsia="Times New Roman"/>
          <w:i/>
          <w:sz w:val="24"/>
        </w:rPr>
        <w:t>P</w:t>
      </w:r>
      <w:r>
        <w:rPr>
          <w:rFonts w:ascii="Times New Roman" w:hAnsi="Times New Roman" w:eastAsia="Times New Roman"/>
          <w:i/>
          <w:position w:val="-5"/>
          <w:sz w:val="14"/>
        </w:rPr>
        <w:t>i   </w:t>
      </w:r>
      <w:r>
        <w:rPr>
          <w:rFonts w:ascii="Times New Roman" w:hAnsi="Times New Roman" w:eastAsia="Times New Roman"/>
          <w:sz w:val="24"/>
        </w:rPr>
        <w:t>—i</w:t>
      </w:r>
      <w:r>
        <w:rPr>
          <w:sz w:val="24"/>
        </w:rPr>
        <w:t>类污染物的单项质量指数；</w:t>
      </w:r>
    </w:p>
    <w:p>
      <w:pPr>
        <w:pStyle w:val="BodyText"/>
        <w:spacing w:before="148"/>
        <w:ind w:left="1456"/>
      </w:pPr>
      <w:r>
        <w:rPr/>
        <w:pict>
          <v:shape style="position:absolute;margin-left:317.950012pt;margin-top:8.5047pt;width:4.05pt;height:8.950pt;mso-position-horizontal-relative:page;mso-position-vertical-relative:paragraph;z-index:-198880"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i </w:t>
      </w:r>
      <w:r>
        <w:rPr>
          <w:rFonts w:ascii="Times New Roman" w:hAnsi="Times New Roman" w:eastAsia="Times New Roman"/>
        </w:rPr>
        <w:t>—i</w:t>
      </w:r>
      <w:r>
        <w:rPr/>
        <w:t>类污染物实测浓度，</w:t>
      </w:r>
      <w:r>
        <w:rPr>
          <w:rFonts w:ascii="Times New Roman" w:hAnsi="Times New Roman" w:eastAsia="Times New Roman"/>
        </w:rPr>
        <w:t>mg/m </w:t>
      </w:r>
      <w:r>
        <w:rPr/>
        <w:t>；</w:t>
      </w:r>
    </w:p>
    <w:p>
      <w:pPr>
        <w:pStyle w:val="BodyText"/>
        <w:spacing w:before="146"/>
        <w:ind w:left="1456"/>
      </w:pPr>
      <w:r>
        <w:rPr/>
        <w:pict>
          <v:shape style="position:absolute;margin-left:332.950012pt;margin-top:8.447685pt;width:4.05pt;height:8.950pt;mso-position-horizontal-relative:page;mso-position-vertical-relative:paragraph;z-index:-198856"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oi </w:t>
      </w:r>
      <w:r>
        <w:rPr>
          <w:rFonts w:ascii="Times New Roman" w:hAnsi="Times New Roman" w:eastAsia="Times New Roman"/>
        </w:rPr>
        <w:t>—i</w:t>
      </w:r>
      <w:r>
        <w:rPr/>
        <w:t>类污染物的评价标准，</w:t>
      </w:r>
      <w:r>
        <w:rPr>
          <w:rFonts w:ascii="Times New Roman" w:hAnsi="Times New Roman" w:eastAsia="Times New Roman"/>
        </w:rPr>
        <w:t>mg/m </w:t>
      </w:r>
      <w:r>
        <w:rPr/>
        <w:t>。</w:t>
      </w:r>
    </w:p>
    <w:p>
      <w:pPr>
        <w:pStyle w:val="BodyText"/>
        <w:spacing w:before="141"/>
        <w:ind w:left="706"/>
      </w:pPr>
      <w:r>
        <w:rPr/>
        <w:t>（</w:t>
      </w:r>
      <w:r>
        <w:rPr>
          <w:rFonts w:ascii="Times New Roman" w:eastAsia="Times New Roman"/>
        </w:rPr>
        <w:t>2</w:t>
      </w:r>
      <w:r>
        <w:rPr/>
        <w:t>）评价标准</w:t>
      </w:r>
    </w:p>
    <w:p>
      <w:pPr>
        <w:pStyle w:val="Heading3"/>
        <w:spacing w:line="350" w:lineRule="auto" w:before="135"/>
        <w:ind w:left="226" w:right="223" w:firstLine="482"/>
        <w:jc w:val="both"/>
        <w:rPr>
          <w:b w:val="0"/>
        </w:rPr>
      </w:pPr>
      <w:r>
        <w:rPr/>
        <w:t>根据《环境影响评价导则 大气环境》</w:t>
      </w:r>
      <w:r>
        <w:rPr>
          <w:rFonts w:ascii="Times New Roman" w:eastAsia="Times New Roman"/>
        </w:rPr>
        <w:t>(HJ2.2-2008)</w:t>
      </w:r>
      <w:r>
        <w:rPr/>
        <w:t>中</w:t>
      </w:r>
      <w:r>
        <w:rPr>
          <w:rFonts w:ascii="Times New Roman" w:eastAsia="Times New Roman"/>
        </w:rPr>
        <w:t>7.36</w:t>
      </w:r>
      <w:r>
        <w:rPr/>
        <w:t>中要求，列表给出各监测点大气污染物的不同取值时间的浓度变化范围，计算并列表给出各取值时间最大浓度值占标准质量浓度限值的百分比和超标率。</w:t>
      </w:r>
      <w:r>
        <w:rPr>
          <w:b w:val="0"/>
        </w:rPr>
        <w:t>环境空气质量现状评价结果列于表</w:t>
      </w:r>
      <w:r>
        <w:rPr>
          <w:rFonts w:ascii="Times New Roman" w:eastAsia="Times New Roman"/>
          <w:b w:val="0"/>
        </w:rPr>
        <w:t>3-3</w:t>
      </w:r>
      <w:r>
        <w:rPr>
          <w:b w:val="0"/>
        </w:rPr>
        <w:t>。</w:t>
      </w:r>
    </w:p>
    <w:p>
      <w:pPr>
        <w:tabs>
          <w:tab w:pos="3437" w:val="left" w:leader="none"/>
        </w:tabs>
        <w:spacing w:before="13"/>
        <w:ind w:left="2576" w:right="0" w:firstLine="0"/>
        <w:jc w:val="left"/>
        <w:rPr>
          <w:b/>
          <w:sz w:val="24"/>
        </w:rPr>
      </w:pPr>
      <w:r>
        <w:rPr/>
        <w:pict>
          <v:shape style="position:absolute;margin-left:92.304001pt;margin-top:18.14562pt;width:411.1pt;height:154.5pt;mso-position-horizontal-relative:page;mso-position-vertical-relative:paragraph;z-index:1600"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93"/>
                    <w:gridCol w:w="1003"/>
                    <w:gridCol w:w="545"/>
                    <w:gridCol w:w="662"/>
                    <w:gridCol w:w="2844"/>
                    <w:gridCol w:w="770"/>
                    <w:gridCol w:w="1004"/>
                    <w:gridCol w:w="778"/>
                  </w:tblGrid>
                  <w:tr>
                    <w:trPr>
                      <w:trHeight w:val="365" w:hRule="exact"/>
                    </w:trPr>
                    <w:tc>
                      <w:tcPr>
                        <w:tcW w:w="593" w:type="dxa"/>
                        <w:vMerge w:val="restart"/>
                        <w:tcBorders>
                          <w:left w:val="single" w:sz="6" w:space="0" w:color="000000"/>
                          <w:right w:val="single" w:sz="6" w:space="0" w:color="000000"/>
                        </w:tcBorders>
                      </w:tcPr>
                      <w:p>
                        <w:pPr>
                          <w:pStyle w:val="TableParagraph"/>
                          <w:spacing w:line="272" w:lineRule="exact" w:before="173"/>
                          <w:ind w:left="184" w:right="60" w:hanging="106"/>
                          <w:jc w:val="left"/>
                          <w:rPr>
                            <w:sz w:val="21"/>
                          </w:rPr>
                        </w:pPr>
                        <w:r>
                          <w:rPr>
                            <w:sz w:val="21"/>
                          </w:rPr>
                          <w:t>采样点</w:t>
                        </w:r>
                      </w:p>
                    </w:tc>
                    <w:tc>
                      <w:tcPr>
                        <w:tcW w:w="1003" w:type="dxa"/>
                        <w:vMerge w:val="restart"/>
                        <w:tcBorders>
                          <w:left w:val="single" w:sz="6" w:space="0" w:color="000000"/>
                          <w:right w:val="single" w:sz="6" w:space="0" w:color="000000"/>
                        </w:tcBorders>
                      </w:tcPr>
                      <w:p>
                        <w:pPr>
                          <w:pStyle w:val="TableParagraph"/>
                          <w:spacing w:line="272" w:lineRule="exact" w:before="173"/>
                          <w:ind w:left="285" w:right="263"/>
                          <w:jc w:val="left"/>
                          <w:rPr>
                            <w:sz w:val="21"/>
                          </w:rPr>
                        </w:pPr>
                        <w:r>
                          <w:rPr>
                            <w:sz w:val="21"/>
                          </w:rPr>
                          <w:t>监测项目</w:t>
                        </w:r>
                      </w:p>
                    </w:tc>
                    <w:tc>
                      <w:tcPr>
                        <w:tcW w:w="545" w:type="dxa"/>
                        <w:vMerge w:val="restart"/>
                        <w:tcBorders>
                          <w:left w:val="single" w:sz="6" w:space="0" w:color="000000"/>
                          <w:right w:val="single" w:sz="6" w:space="0" w:color="000000"/>
                        </w:tcBorders>
                      </w:tcPr>
                      <w:p>
                        <w:pPr>
                          <w:pStyle w:val="TableParagraph"/>
                          <w:spacing w:line="272" w:lineRule="exact" w:before="173"/>
                          <w:ind w:left="55" w:right="36"/>
                          <w:jc w:val="left"/>
                          <w:rPr>
                            <w:sz w:val="21"/>
                          </w:rPr>
                        </w:pPr>
                        <w:r>
                          <w:rPr>
                            <w:sz w:val="21"/>
                          </w:rPr>
                          <w:t>采样天数</w:t>
                        </w:r>
                      </w:p>
                    </w:tc>
                    <w:tc>
                      <w:tcPr>
                        <w:tcW w:w="5281" w:type="dxa"/>
                        <w:gridSpan w:val="4"/>
                        <w:tcBorders>
                          <w:left w:val="single" w:sz="6" w:space="0" w:color="000000"/>
                          <w:bottom w:val="single" w:sz="6" w:space="0" w:color="000000"/>
                          <w:right w:val="single" w:sz="6" w:space="0" w:color="000000"/>
                        </w:tcBorders>
                      </w:tcPr>
                      <w:p>
                        <w:pPr>
                          <w:pStyle w:val="TableParagraph"/>
                          <w:spacing w:before="2"/>
                          <w:ind w:left="1983" w:right="1983"/>
                          <w:rPr>
                            <w:sz w:val="21"/>
                          </w:rPr>
                        </w:pPr>
                        <w:r>
                          <w:rPr>
                            <w:sz w:val="21"/>
                          </w:rPr>
                          <w:t>评价结果统计</w:t>
                        </w:r>
                      </w:p>
                    </w:tc>
                    <w:tc>
                      <w:tcPr>
                        <w:tcW w:w="778" w:type="dxa"/>
                        <w:vMerge w:val="restart"/>
                        <w:tcBorders>
                          <w:left w:val="single" w:sz="6" w:space="0" w:color="000000"/>
                          <w:right w:val="single" w:sz="6" w:space="0" w:color="000000"/>
                        </w:tcBorders>
                      </w:tcPr>
                      <w:p>
                        <w:pPr>
                          <w:pStyle w:val="TableParagraph"/>
                          <w:spacing w:line="271" w:lineRule="exact" w:before="160"/>
                          <w:ind w:left="64"/>
                          <w:jc w:val="left"/>
                          <w:rPr>
                            <w:sz w:val="21"/>
                          </w:rPr>
                        </w:pPr>
                        <w:r>
                          <w:rPr>
                            <w:sz w:val="21"/>
                          </w:rPr>
                          <w:t>标准值</w:t>
                        </w:r>
                      </w:p>
                      <w:p>
                        <w:pPr>
                          <w:pStyle w:val="TableParagraph"/>
                          <w:spacing w:line="272" w:lineRule="exact"/>
                          <w:ind w:left="28"/>
                          <w:jc w:val="left"/>
                          <w:rPr>
                            <w:rFonts w:ascii="Times New Roman"/>
                            <w:sz w:val="21"/>
                          </w:rPr>
                        </w:pPr>
                        <w:r>
                          <w:rPr>
                            <w:rFonts w:ascii="Times New Roman"/>
                            <w:sz w:val="21"/>
                          </w:rPr>
                          <w:t>(mg/m</w:t>
                        </w:r>
                        <w:r>
                          <w:rPr>
                            <w:rFonts w:ascii="Times New Roman"/>
                            <w:position w:val="10"/>
                            <w:sz w:val="14"/>
                          </w:rPr>
                          <w:t>3</w:t>
                        </w:r>
                        <w:r>
                          <w:rPr>
                            <w:rFonts w:ascii="Times New Roman"/>
                            <w:sz w:val="21"/>
                          </w:rPr>
                          <w:t>)</w:t>
                        </w:r>
                      </w:p>
                    </w:tc>
                  </w:tr>
                  <w:tr>
                    <w:trPr>
                      <w:trHeight w:val="559" w:hRule="exact"/>
                    </w:trPr>
                    <w:tc>
                      <w:tcPr>
                        <w:tcW w:w="593" w:type="dxa"/>
                        <w:vMerge/>
                        <w:tcBorders>
                          <w:left w:val="single" w:sz="6" w:space="0" w:color="000000"/>
                          <w:bottom w:val="single" w:sz="6" w:space="0" w:color="000000"/>
                          <w:right w:val="single" w:sz="6" w:space="0" w:color="000000"/>
                        </w:tcBorders>
                      </w:tcPr>
                      <w:p>
                        <w:pPr/>
                      </w:p>
                    </w:tc>
                    <w:tc>
                      <w:tcPr>
                        <w:tcW w:w="1003" w:type="dxa"/>
                        <w:vMerge/>
                        <w:tcBorders>
                          <w:left w:val="single" w:sz="6" w:space="0" w:color="000000"/>
                          <w:bottom w:val="single" w:sz="6" w:space="0" w:color="000000"/>
                          <w:right w:val="single" w:sz="6" w:space="0" w:color="000000"/>
                        </w:tcBorders>
                      </w:tcPr>
                      <w:p>
                        <w:pPr/>
                      </w:p>
                    </w:tc>
                    <w:tc>
                      <w:tcPr>
                        <w:tcW w:w="545" w:type="dxa"/>
                        <w:vMerge/>
                        <w:tcBorders>
                          <w:left w:val="single" w:sz="6" w:space="0" w:color="000000"/>
                          <w:bottom w:val="single" w:sz="6" w:space="0" w:color="000000"/>
                          <w:right w:val="single" w:sz="6" w:space="0" w:color="000000"/>
                        </w:tcBorders>
                      </w:tcPr>
                      <w:p>
                        <w:pP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4" w:right="94"/>
                          <w:rPr>
                            <w:sz w:val="21"/>
                          </w:rPr>
                        </w:pPr>
                        <w:r>
                          <w:rPr>
                            <w:sz w:val="21"/>
                          </w:rPr>
                          <w:t>样品</w:t>
                        </w:r>
                      </w:p>
                      <w:p>
                        <w:pPr>
                          <w:pStyle w:val="TableParagraph"/>
                          <w:spacing w:line="273" w:lineRule="exact"/>
                          <w:ind w:right="2"/>
                          <w:rPr>
                            <w:sz w:val="21"/>
                          </w:rPr>
                        </w:pPr>
                        <w:r>
                          <w:rPr>
                            <w:w w:val="100"/>
                            <w:sz w:val="21"/>
                          </w:rPr>
                          <w:t>数</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05" w:right="905"/>
                          <w:rPr>
                            <w:sz w:val="21"/>
                          </w:rPr>
                        </w:pPr>
                        <w:r>
                          <w:rPr>
                            <w:sz w:val="21"/>
                          </w:rPr>
                          <w:t>浓度范围</w:t>
                        </w:r>
                      </w:p>
                      <w:p>
                        <w:pPr>
                          <w:pStyle w:val="TableParagraph"/>
                          <w:spacing w:line="289" w:lineRule="exact"/>
                          <w:ind w:left="905" w:right="905"/>
                          <w:rPr>
                            <w:sz w:val="21"/>
                          </w:rPr>
                        </w:pPr>
                        <w:r>
                          <w:rPr>
                            <w:sz w:val="21"/>
                          </w:rPr>
                          <w:t>（</w:t>
                        </w:r>
                        <w:r>
                          <w:rPr>
                            <w:rFonts w:ascii="Times New Roman" w:eastAsia="Times New Roman"/>
                            <w:sz w:val="21"/>
                          </w:rPr>
                          <w:t>mg/m</w:t>
                        </w:r>
                        <w:r>
                          <w:rPr>
                            <w:rFonts w:ascii="Times New Roman" w:eastAsia="Times New Roman"/>
                            <w:position w:val="10"/>
                            <w:sz w:val="14"/>
                          </w:rPr>
                          <w:t>3</w:t>
                        </w:r>
                        <w:r>
                          <w:rPr>
                            <w:sz w:val="21"/>
                          </w:rPr>
                          <w:t>）</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line="255" w:lineRule="exact"/>
                          <w:ind w:left="44" w:right="42"/>
                          <w:rPr>
                            <w:sz w:val="21"/>
                          </w:rPr>
                        </w:pPr>
                        <w:r>
                          <w:rPr>
                            <w:sz w:val="21"/>
                          </w:rPr>
                          <w:t>超标率</w:t>
                        </w:r>
                      </w:p>
                      <w:p>
                        <w:pPr>
                          <w:pStyle w:val="TableParagraph"/>
                          <w:spacing w:before="26"/>
                          <w:rPr>
                            <w:rFonts w:ascii="Times New Roman"/>
                            <w:sz w:val="21"/>
                          </w:rPr>
                        </w:pPr>
                        <w:r>
                          <w:rPr>
                            <w:rFonts w:ascii="Times New Roman"/>
                            <w:w w:val="100"/>
                            <w:sz w:val="21"/>
                          </w:rPr>
                          <w:t>%</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283"/>
                          <w:jc w:val="left"/>
                          <w:rPr>
                            <w:sz w:val="21"/>
                          </w:rPr>
                        </w:pPr>
                        <w:r>
                          <w:rPr>
                            <w:sz w:val="21"/>
                          </w:rPr>
                          <w:t>最高</w:t>
                        </w:r>
                      </w:p>
                      <w:p>
                        <w:pPr>
                          <w:pStyle w:val="TableParagraph"/>
                          <w:spacing w:line="273" w:lineRule="exact"/>
                          <w:ind w:left="74"/>
                          <w:jc w:val="left"/>
                          <w:rPr>
                            <w:sz w:val="21"/>
                          </w:rPr>
                        </w:pPr>
                        <w:r>
                          <w:rPr>
                            <w:sz w:val="21"/>
                          </w:rPr>
                          <w:t>超标倍数</w:t>
                        </w:r>
                      </w:p>
                    </w:tc>
                    <w:tc>
                      <w:tcPr>
                        <w:tcW w:w="778" w:type="dxa"/>
                        <w:vMerge/>
                        <w:tcBorders>
                          <w:left w:val="single" w:sz="6" w:space="0" w:color="000000"/>
                          <w:bottom w:val="single" w:sz="6" w:space="0" w:color="000000"/>
                          <w:right w:val="single" w:sz="6" w:space="0" w:color="000000"/>
                        </w:tcBorders>
                      </w:tcPr>
                      <w:p>
                        <w:pP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6"/>
                          <w:jc w:val="left"/>
                          <w:rPr>
                            <w:sz w:val="30"/>
                          </w:rPr>
                        </w:pPr>
                      </w:p>
                      <w:p>
                        <w:pPr>
                          <w:pStyle w:val="TableParagraph"/>
                          <w:ind w:left="160"/>
                          <w:jc w:val="left"/>
                          <w:rPr>
                            <w:rFonts w:ascii="Times New Roman"/>
                            <w:sz w:val="21"/>
                          </w:rPr>
                        </w:pPr>
                        <w:r>
                          <w:rPr>
                            <w:rFonts w:ascii="Times New Roman"/>
                            <w:sz w:val="21"/>
                          </w:rPr>
                          <w:t>G1</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0.15</w:t>
                        </w:r>
                      </w:p>
                    </w:tc>
                  </w:tr>
                  <w:tr>
                    <w:trPr>
                      <w:trHeight w:val="355"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0.5</w:t>
                        </w:r>
                      </w:p>
                    </w:tc>
                  </w:tr>
                  <w:tr>
                    <w:trPr>
                      <w:trHeight w:val="355" w:hRule="exact"/>
                    </w:trPr>
                    <w:tc>
                      <w:tcPr>
                        <w:tcW w:w="593" w:type="dxa"/>
                        <w:vMerge/>
                        <w:tcBorders>
                          <w:left w:val="single" w:sz="6" w:space="0" w:color="000000"/>
                          <w:bottom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0.2</w:t>
                        </w: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4"/>
                          <w:jc w:val="left"/>
                          <w:rPr>
                            <w:sz w:val="30"/>
                          </w:rPr>
                        </w:pPr>
                      </w:p>
                      <w:p>
                        <w:pPr>
                          <w:pStyle w:val="TableParagraph"/>
                          <w:ind w:left="160"/>
                          <w:jc w:val="left"/>
                          <w:rPr>
                            <w:rFonts w:ascii="Times New Roman"/>
                            <w:sz w:val="21"/>
                          </w:rPr>
                        </w:pPr>
                        <w:r>
                          <w:rPr>
                            <w:rFonts w:ascii="Times New Roman"/>
                            <w:sz w:val="21"/>
                          </w:rPr>
                          <w:t>G2</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0.15</w:t>
                        </w:r>
                      </w:p>
                    </w:tc>
                  </w:tr>
                  <w:tr>
                    <w:trPr>
                      <w:trHeight w:val="35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0.5</w:t>
                        </w:r>
                      </w:p>
                    </w:tc>
                  </w:tr>
                  <w:tr>
                    <w:trPr>
                      <w:trHeight w:val="36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right w:val="single" w:sz="6" w:space="0" w:color="000000"/>
                        </w:tcBorders>
                      </w:tcPr>
                      <w:p>
                        <w:pPr>
                          <w:pStyle w:val="TableParagraph"/>
                          <w:spacing w:before="44"/>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right w:val="single" w:sz="6" w:space="0" w:color="000000"/>
                        </w:tcBorders>
                      </w:tcPr>
                      <w:p>
                        <w:pPr>
                          <w:pStyle w:val="TableParagraph"/>
                          <w:spacing w:before="2"/>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770" w:type="dxa"/>
                        <w:tcBorders>
                          <w:top w:val="single" w:sz="6" w:space="0" w:color="000000"/>
                          <w:left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0.2</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3-3</w:t>
        <w:tab/>
      </w:r>
      <w:r>
        <w:rPr>
          <w:b/>
          <w:w w:val="95"/>
          <w:sz w:val="24"/>
        </w:rPr>
        <w:t>大气环境质量现状评价结果表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pStyle w:val="BodyText"/>
        <w:spacing w:line="333" w:lineRule="auto"/>
        <w:ind w:left="226" w:right="222" w:firstLine="479"/>
        <w:jc w:val="both"/>
      </w:pPr>
      <w:r>
        <w:rPr>
          <w:spacing w:val="-4"/>
        </w:rPr>
        <w:t>统计结果表明，项目所在地环境空气质量良好，</w:t>
      </w:r>
      <w:r>
        <w:rPr>
          <w:rFonts w:ascii="Times New Roman" w:eastAsia="Times New Roman"/>
          <w:spacing w:val="-4"/>
        </w:rPr>
        <w:t>PM</w:t>
      </w:r>
      <w:r>
        <w:rPr>
          <w:rFonts w:ascii="Times New Roman" w:eastAsia="Times New Roman"/>
          <w:spacing w:val="-4"/>
          <w:position w:val="-2"/>
          <w:sz w:val="16"/>
        </w:rPr>
        <w:t>10</w:t>
      </w:r>
      <w:r>
        <w:rPr>
          <w:spacing w:val="-17"/>
        </w:rPr>
        <w:t>、</w:t>
      </w:r>
      <w:r>
        <w:rPr>
          <w:rFonts w:ascii="Times New Roman" w:eastAsia="Times New Roman"/>
        </w:rPr>
        <w:t>SO</w:t>
      </w:r>
      <w:r>
        <w:rPr>
          <w:rFonts w:ascii="Times New Roman" w:eastAsia="Times New Roman"/>
          <w:position w:val="-2"/>
          <w:sz w:val="16"/>
        </w:rPr>
        <w:t>2</w:t>
      </w:r>
      <w:r>
        <w:rPr>
          <w:spacing w:val="-17"/>
        </w:rPr>
        <w:t>、</w:t>
      </w:r>
      <w:r>
        <w:rPr>
          <w:rFonts w:ascii="Times New Roman" w:eastAsia="Times New Roman"/>
        </w:rPr>
        <w:t>NO</w:t>
      </w:r>
      <w:r>
        <w:rPr>
          <w:rFonts w:ascii="Times New Roman" w:eastAsia="Times New Roman"/>
          <w:position w:val="-2"/>
          <w:sz w:val="16"/>
        </w:rPr>
        <w:t>2</w:t>
      </w:r>
      <w:r>
        <w:rPr>
          <w:spacing w:val="-2"/>
        </w:rPr>
        <w:t>均无超标</w:t>
      </w:r>
      <w:r>
        <w:rPr>
          <w:spacing w:val="-10"/>
        </w:rPr>
        <w:t>现象，满足《环境空气质量标准》</w:t>
      </w:r>
      <w:r>
        <w:rPr>
          <w:rFonts w:ascii="Times New Roman" w:eastAsia="Times New Roman"/>
        </w:rPr>
        <w:t>GB3095-2012</w:t>
      </w:r>
      <w:r>
        <w:rPr>
          <w:spacing w:val="-5"/>
        </w:rPr>
        <w:t>二级标准要求，具有一定的环境容量。</w:t>
      </w:r>
    </w:p>
    <w:p>
      <w:pPr>
        <w:pStyle w:val="Heading3"/>
        <w:spacing w:before="57"/>
        <w:ind w:left="708"/>
      </w:pPr>
      <w:r>
        <w:rPr>
          <w:w w:val="95"/>
        </w:rPr>
        <w:t>二、地表水质量现状</w:t>
      </w:r>
    </w:p>
    <w:p>
      <w:pPr>
        <w:pStyle w:val="BodyText"/>
        <w:spacing w:line="348" w:lineRule="auto" w:before="153"/>
        <w:ind w:left="226" w:right="222" w:firstLine="479"/>
        <w:jc w:val="both"/>
      </w:pPr>
      <w:r>
        <w:rPr/>
        <w:t>引用大气监测时间为</w:t>
      </w:r>
      <w:r>
        <w:rPr>
          <w:rFonts w:ascii="Times New Roman" w:hAnsi="Times New Roman" w:eastAsia="Times New Roman"/>
        </w:rPr>
        <w:t>2017</w:t>
      </w:r>
      <w:r>
        <w:rPr/>
        <w:t>年</w:t>
      </w:r>
      <w:r>
        <w:rPr>
          <w:rFonts w:ascii="Times New Roman" w:hAnsi="Times New Roman" w:eastAsia="Times New Roman"/>
        </w:rPr>
        <w:t>8</w:t>
      </w:r>
      <w:r>
        <w:rPr/>
        <w:t>月</w:t>
      </w:r>
      <w:r>
        <w:rPr>
          <w:rFonts w:ascii="Times New Roman" w:hAnsi="Times New Roman" w:eastAsia="Times New Roman"/>
        </w:rPr>
        <w:t>14</w:t>
      </w:r>
      <w:r>
        <w:rPr/>
        <w:t>日</w:t>
      </w:r>
      <w:r>
        <w:rPr>
          <w:rFonts w:ascii="Times New Roman" w:hAnsi="Times New Roman" w:eastAsia="Times New Roman"/>
        </w:rPr>
        <w:t>~8</w:t>
      </w:r>
      <w:r>
        <w:rPr/>
        <w:t>月</w:t>
      </w:r>
      <w:r>
        <w:rPr>
          <w:rFonts w:ascii="Times New Roman" w:hAnsi="Times New Roman" w:eastAsia="Times New Roman"/>
        </w:rPr>
        <w:t>20</w:t>
      </w:r>
      <w:r>
        <w:rPr>
          <w:spacing w:val="-9"/>
        </w:rPr>
        <w:t>日，本项目周边地表水受纳水体为新宁河，与“开江县永安路、龙池街等市政道路改造及管网工程”受纳水体</w:t>
      </w:r>
      <w:r>
        <w:rPr>
          <w:spacing w:val="-1"/>
        </w:rPr>
        <w:t>一致，故本次引用数据满足导则的要求，合理有效。</w:t>
      </w:r>
    </w:p>
    <w:p>
      <w:pPr>
        <w:pStyle w:val="Heading3"/>
        <w:spacing w:before="45"/>
        <w:ind w:left="708"/>
      </w:pPr>
      <w:r>
        <w:rPr>
          <w:rFonts w:ascii="Times New Roman" w:eastAsia="Times New Roman"/>
          <w:w w:val="95"/>
        </w:rPr>
        <w:t>1</w:t>
      </w:r>
      <w:r>
        <w:rPr>
          <w:w w:val="95"/>
        </w:rPr>
        <w:t>、监测点位置</w:t>
      </w:r>
    </w:p>
    <w:p>
      <w:pPr>
        <w:tabs>
          <w:tab w:pos="801" w:val="left" w:leader="none"/>
        </w:tabs>
        <w:spacing w:before="133"/>
        <w:ind w:left="0" w:right="1" w:firstLine="0"/>
        <w:jc w:val="center"/>
        <w:rPr>
          <w:b/>
          <w:sz w:val="24"/>
        </w:rPr>
      </w:pPr>
      <w:r>
        <w:rPr/>
        <w:pict>
          <v:shape style="position:absolute;margin-left:95.183998pt;margin-top:32.065582pt;width:405.2pt;height:43.2pt;mso-position-horizontal-relative:page;mso-position-vertical-relative:paragraph;z-index:1624"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3"/>
                    <w:gridCol w:w="1887"/>
                    <w:gridCol w:w="4599"/>
                  </w:tblGrid>
                  <w:tr>
                    <w:trPr>
                      <w:trHeight w:val="281" w:hRule="exact"/>
                    </w:trPr>
                    <w:tc>
                      <w:tcPr>
                        <w:tcW w:w="1603" w:type="dxa"/>
                      </w:tcPr>
                      <w:p>
                        <w:pPr>
                          <w:pStyle w:val="TableParagraph"/>
                          <w:spacing w:line="241" w:lineRule="exact"/>
                          <w:ind w:left="376"/>
                          <w:jc w:val="left"/>
                          <w:rPr>
                            <w:sz w:val="21"/>
                          </w:rPr>
                        </w:pPr>
                        <w:r>
                          <w:rPr>
                            <w:sz w:val="21"/>
                          </w:rPr>
                          <w:t>河流名称</w:t>
                        </w:r>
                      </w:p>
                    </w:tc>
                    <w:tc>
                      <w:tcPr>
                        <w:tcW w:w="1887" w:type="dxa"/>
                      </w:tcPr>
                      <w:p>
                        <w:pPr>
                          <w:pStyle w:val="TableParagraph"/>
                          <w:spacing w:line="241" w:lineRule="exact"/>
                          <w:ind w:left="500" w:right="497"/>
                          <w:rPr>
                            <w:sz w:val="21"/>
                          </w:rPr>
                        </w:pPr>
                        <w:r>
                          <w:rPr>
                            <w:sz w:val="21"/>
                          </w:rPr>
                          <w:t>断面编号</w:t>
                        </w:r>
                      </w:p>
                    </w:tc>
                    <w:tc>
                      <w:tcPr>
                        <w:tcW w:w="4599" w:type="dxa"/>
                      </w:tcPr>
                      <w:p>
                        <w:pPr>
                          <w:pStyle w:val="TableParagraph"/>
                          <w:spacing w:line="241" w:lineRule="exact"/>
                          <w:ind w:left="1222" w:right="1220"/>
                          <w:rPr>
                            <w:sz w:val="21"/>
                          </w:rPr>
                        </w:pPr>
                        <w:r>
                          <w:rPr>
                            <w:sz w:val="21"/>
                          </w:rPr>
                          <w:t>断面位置</w:t>
                        </w:r>
                      </w:p>
                    </w:tc>
                  </w:tr>
                  <w:tr>
                    <w:trPr>
                      <w:trHeight w:val="290" w:hRule="exact"/>
                    </w:trPr>
                    <w:tc>
                      <w:tcPr>
                        <w:tcW w:w="1603" w:type="dxa"/>
                        <w:vMerge w:val="restart"/>
                      </w:tcPr>
                      <w:p>
                        <w:pPr>
                          <w:pStyle w:val="TableParagraph"/>
                          <w:spacing w:before="112"/>
                          <w:ind w:left="479"/>
                          <w:jc w:val="left"/>
                          <w:rPr>
                            <w:sz w:val="21"/>
                          </w:rPr>
                        </w:pPr>
                        <w:r>
                          <w:rPr>
                            <w:sz w:val="21"/>
                          </w:rPr>
                          <w:t>新宁河</w:t>
                        </w:r>
                      </w:p>
                    </w:tc>
                    <w:tc>
                      <w:tcPr>
                        <w:tcW w:w="1887" w:type="dxa"/>
                      </w:tcPr>
                      <w:p>
                        <w:pPr>
                          <w:pStyle w:val="TableParagraph"/>
                          <w:spacing w:before="12"/>
                          <w:ind w:left="499" w:right="497"/>
                          <w:rPr>
                            <w:rFonts w:ascii="Times New Roman"/>
                            <w:sz w:val="21"/>
                          </w:rPr>
                        </w:pPr>
                        <w:r>
                          <w:rPr>
                            <w:rFonts w:ascii="Times New Roman"/>
                            <w:sz w:val="21"/>
                          </w:rPr>
                          <w:t>W1</w:t>
                        </w:r>
                      </w:p>
                    </w:tc>
                    <w:tc>
                      <w:tcPr>
                        <w:tcW w:w="4599" w:type="dxa"/>
                      </w:tcPr>
                      <w:p>
                        <w:pPr>
                          <w:pStyle w:val="TableParagraph"/>
                          <w:spacing w:line="269" w:lineRule="exact"/>
                          <w:ind w:left="1223" w:right="1220"/>
                          <w:rPr>
                            <w:rFonts w:ascii="Times New Roman" w:eastAsia="Times New Roman"/>
                            <w:sz w:val="21"/>
                          </w:rPr>
                        </w:pPr>
                        <w:r>
                          <w:rPr>
                            <w:sz w:val="21"/>
                          </w:rPr>
                          <w:t>项目所在地上游 </w:t>
                        </w:r>
                        <w:r>
                          <w:rPr>
                            <w:rFonts w:ascii="Times New Roman" w:eastAsia="Times New Roman"/>
                            <w:sz w:val="21"/>
                          </w:rPr>
                          <w:t>500m</w:t>
                        </w:r>
                      </w:p>
                    </w:tc>
                  </w:tr>
                  <w:tr>
                    <w:trPr>
                      <w:trHeight w:val="283" w:hRule="exact"/>
                    </w:trPr>
                    <w:tc>
                      <w:tcPr>
                        <w:tcW w:w="1603" w:type="dxa"/>
                        <w:vMerge/>
                      </w:tcPr>
                      <w:p>
                        <w:pPr/>
                      </w:p>
                    </w:tc>
                    <w:tc>
                      <w:tcPr>
                        <w:tcW w:w="1887" w:type="dxa"/>
                      </w:tcPr>
                      <w:p>
                        <w:pPr>
                          <w:pStyle w:val="TableParagraph"/>
                          <w:spacing w:before="10"/>
                          <w:ind w:left="499" w:right="497"/>
                          <w:rPr>
                            <w:rFonts w:ascii="Times New Roman"/>
                            <w:sz w:val="21"/>
                          </w:rPr>
                        </w:pPr>
                        <w:r>
                          <w:rPr>
                            <w:rFonts w:ascii="Times New Roman"/>
                            <w:sz w:val="21"/>
                          </w:rPr>
                          <w:t>W2</w:t>
                        </w:r>
                      </w:p>
                    </w:tc>
                    <w:tc>
                      <w:tcPr>
                        <w:tcW w:w="4599" w:type="dxa"/>
                      </w:tcPr>
                      <w:p>
                        <w:pPr>
                          <w:pStyle w:val="TableParagraph"/>
                          <w:spacing w:line="257" w:lineRule="exact"/>
                          <w:ind w:left="1223" w:right="1220"/>
                          <w:rPr>
                            <w:rFonts w:ascii="Times New Roman" w:eastAsia="Times New Roman"/>
                            <w:sz w:val="21"/>
                          </w:rPr>
                        </w:pPr>
                        <w:r>
                          <w:rPr>
                            <w:sz w:val="21"/>
                          </w:rPr>
                          <w:t>项目所在地下游 </w:t>
                        </w:r>
                        <w:r>
                          <w:rPr>
                            <w:rFonts w:ascii="Times New Roman" w:eastAsia="Times New Roman"/>
                            <w:sz w:val="21"/>
                          </w:rPr>
                          <w:t>1.5km</w:t>
                        </w:r>
                      </w:p>
                    </w:tc>
                  </w:tr>
                </w:tbl>
                <w:p>
                  <w:pPr>
                    <w:pStyle w:val="BodyText"/>
                  </w:pPr>
                </w:p>
              </w:txbxContent>
            </v:textbox>
            <w10:wrap type="none"/>
          </v:shape>
        </w:pict>
      </w:r>
      <w:r>
        <w:rPr>
          <w:b/>
          <w:sz w:val="24"/>
        </w:rPr>
        <w:t>表</w:t>
      </w:r>
      <w:r>
        <w:rPr>
          <w:rFonts w:ascii="Times New Roman" w:eastAsia="Times New Roman"/>
          <w:b/>
          <w:sz w:val="24"/>
        </w:rPr>
        <w:t>3-4</w:t>
        <w:tab/>
      </w:r>
      <w:r>
        <w:rPr>
          <w:b/>
          <w:w w:val="95"/>
          <w:sz w:val="24"/>
        </w:rPr>
        <w:t>水质监测断面位置</w:t>
      </w:r>
    </w:p>
    <w:p>
      <w:pPr>
        <w:pStyle w:val="BodyText"/>
        <w:rPr>
          <w:b/>
          <w:sz w:val="26"/>
        </w:rPr>
      </w:pPr>
    </w:p>
    <w:p>
      <w:pPr>
        <w:pStyle w:val="BodyText"/>
        <w:rPr>
          <w:b/>
          <w:sz w:val="26"/>
        </w:rPr>
      </w:pPr>
    </w:p>
    <w:p>
      <w:pPr>
        <w:pStyle w:val="BodyText"/>
        <w:spacing w:before="5"/>
        <w:rPr>
          <w:b/>
        </w:rPr>
      </w:pPr>
    </w:p>
    <w:p>
      <w:pPr>
        <w:spacing w:before="0"/>
        <w:ind w:left="698" w:right="0" w:firstLine="0"/>
        <w:jc w:val="left"/>
        <w:rPr>
          <w:b/>
          <w:sz w:val="24"/>
        </w:rPr>
      </w:pPr>
      <w:r>
        <w:rPr>
          <w:rFonts w:ascii="Times New Roman" w:eastAsia="Times New Roman"/>
          <w:b/>
          <w:w w:val="95"/>
          <w:sz w:val="24"/>
        </w:rPr>
        <w:t>2</w:t>
      </w:r>
      <w:r>
        <w:rPr>
          <w:b/>
          <w:w w:val="95"/>
          <w:sz w:val="24"/>
        </w:rPr>
        <w:t>、监测项目、监测时间及采样频次</w:t>
      </w:r>
    </w:p>
    <w:p>
      <w:pPr>
        <w:pStyle w:val="BodyText"/>
        <w:spacing w:line="328" w:lineRule="auto" w:before="133"/>
        <w:ind w:left="226" w:right="220" w:firstLine="470"/>
      </w:pPr>
      <w:r>
        <w:rPr/>
        <w:t>（</w:t>
      </w:r>
      <w:r>
        <w:rPr>
          <w:rFonts w:ascii="Times New Roman" w:eastAsia="Times New Roman"/>
        </w:rPr>
        <w:t>1</w:t>
      </w:r>
      <w:r>
        <w:rPr/>
        <w:t>）监测项目：</w:t>
      </w:r>
      <w:r>
        <w:rPr>
          <w:rFonts w:ascii="Times New Roman" w:eastAsia="Times New Roman"/>
        </w:rPr>
        <w:t>pH</w:t>
      </w:r>
      <w:r>
        <w:rPr/>
        <w:t>、</w:t>
      </w:r>
      <w:r>
        <w:rPr>
          <w:rFonts w:ascii="Times New Roman" w:eastAsia="Times New Roman"/>
        </w:rPr>
        <w:t>SS</w:t>
      </w:r>
      <w:r>
        <w:rPr/>
        <w:t>、</w:t>
      </w:r>
      <w:r>
        <w:rPr>
          <w:rFonts w:ascii="Times New Roman" w:eastAsia="Times New Roman"/>
        </w:rPr>
        <w:t>COD</w:t>
      </w:r>
      <w:r>
        <w:rPr/>
        <w:t>、</w:t>
      </w:r>
      <w:r>
        <w:rPr>
          <w:rFonts w:ascii="Times New Roman" w:eastAsia="Times New Roman"/>
        </w:rPr>
        <w:t>BOD</w:t>
      </w:r>
      <w:r>
        <w:rPr>
          <w:rFonts w:ascii="Times New Roman" w:eastAsia="Times New Roman"/>
          <w:position w:val="-2"/>
          <w:sz w:val="16"/>
        </w:rPr>
        <w:t>5</w:t>
      </w:r>
      <w:r>
        <w:rPr/>
        <w:t>、</w:t>
      </w:r>
      <w:r>
        <w:rPr>
          <w:rFonts w:ascii="Times New Roman" w:eastAsia="Times New Roman"/>
        </w:rPr>
        <w:t>NH</w:t>
      </w:r>
      <w:r>
        <w:rPr>
          <w:rFonts w:ascii="Times New Roman" w:eastAsia="Times New Roman"/>
          <w:position w:val="-2"/>
          <w:sz w:val="16"/>
        </w:rPr>
        <w:t>3</w:t>
      </w:r>
      <w:r>
        <w:rPr>
          <w:rFonts w:ascii="Times New Roman" w:eastAsia="Times New Roman"/>
        </w:rPr>
        <w:t>-N</w:t>
      </w:r>
      <w:r>
        <w:rPr/>
        <w:t>、石油类、粪大肠菌群共计</w:t>
      </w:r>
      <w:r>
        <w:rPr>
          <w:rFonts w:ascii="Times New Roman" w:eastAsia="Times New Roman"/>
        </w:rPr>
        <w:t>7</w:t>
      </w:r>
      <w:r>
        <w:rPr/>
        <w:t>项；</w:t>
      </w:r>
    </w:p>
    <w:p>
      <w:pPr>
        <w:spacing w:after="0" w:line="328" w:lineRule="auto"/>
        <w:sectPr>
          <w:pgSz w:w="11910" w:h="16850"/>
          <w:pgMar w:header="0" w:footer="1141" w:top="1400" w:bottom="140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11628" w:hRule="exact"/>
        </w:trPr>
        <w:tc>
          <w:tcPr>
            <w:tcW w:w="8433" w:type="dxa"/>
            <w:gridSpan w:val="8"/>
            <w:tcBorders>
              <w:bottom w:val="nil"/>
            </w:tcBorders>
          </w:tcPr>
          <w:p>
            <w:pPr>
              <w:pStyle w:val="TableParagraph"/>
              <w:spacing w:line="292" w:lineRule="exact"/>
              <w:ind w:left="571"/>
              <w:jc w:val="left"/>
              <w:rPr>
                <w:sz w:val="24"/>
              </w:rPr>
            </w:pPr>
            <w:r>
              <w:rPr>
                <w:sz w:val="24"/>
              </w:rPr>
              <w:t>（</w:t>
            </w:r>
            <w:r>
              <w:rPr>
                <w:rFonts w:ascii="Times New Roman" w:eastAsia="Times New Roman"/>
                <w:sz w:val="24"/>
              </w:rPr>
              <w:t>2</w:t>
            </w:r>
            <w:r>
              <w:rPr>
                <w:sz w:val="24"/>
              </w:rPr>
              <w:t>）监测时间：</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w:t>
            </w:r>
          </w:p>
          <w:p>
            <w:pPr>
              <w:pStyle w:val="TableParagraph"/>
              <w:spacing w:before="135"/>
              <w:ind w:left="583"/>
              <w:jc w:val="left"/>
              <w:rPr>
                <w:b/>
                <w:sz w:val="24"/>
              </w:rPr>
            </w:pPr>
            <w:r>
              <w:rPr>
                <w:rFonts w:ascii="Times New Roman" w:eastAsia="Times New Roman"/>
                <w:b/>
                <w:w w:val="95"/>
                <w:sz w:val="24"/>
              </w:rPr>
              <w:t>3</w:t>
            </w:r>
            <w:r>
              <w:rPr>
                <w:b/>
                <w:w w:val="95"/>
                <w:sz w:val="24"/>
              </w:rPr>
              <w:t>、采样及分析方法</w:t>
            </w:r>
          </w:p>
          <w:p>
            <w:pPr>
              <w:pStyle w:val="TableParagraph"/>
              <w:spacing w:line="338" w:lineRule="auto" w:before="132"/>
              <w:ind w:left="100" w:right="91" w:firstLine="479"/>
              <w:jc w:val="left"/>
              <w:rPr>
                <w:sz w:val="24"/>
              </w:rPr>
            </w:pPr>
            <w:r>
              <w:rPr>
                <w:spacing w:val="-5"/>
                <w:sz w:val="24"/>
              </w:rPr>
              <w:t>采样按规范进行，分析方法采用《地表水环境质量标准》</w:t>
            </w:r>
            <w:r>
              <w:rPr>
                <w:sz w:val="24"/>
              </w:rPr>
              <w:t>（</w:t>
            </w:r>
            <w:r>
              <w:rPr>
                <w:rFonts w:ascii="Times New Roman" w:eastAsia="Times New Roman"/>
                <w:sz w:val="24"/>
              </w:rPr>
              <w:t>GB3838-2002</w:t>
            </w:r>
            <w:r>
              <w:rPr>
                <w:sz w:val="24"/>
              </w:rPr>
              <w:t>） 中的规定方法。</w:t>
            </w:r>
          </w:p>
          <w:p>
            <w:pPr>
              <w:pStyle w:val="TableParagraph"/>
              <w:spacing w:before="52"/>
              <w:ind w:left="583"/>
              <w:jc w:val="left"/>
              <w:rPr>
                <w:b/>
                <w:sz w:val="24"/>
              </w:rPr>
            </w:pPr>
            <w:r>
              <w:rPr>
                <w:rFonts w:ascii="Times New Roman" w:eastAsia="Times New Roman"/>
                <w:b/>
                <w:w w:val="95"/>
                <w:sz w:val="24"/>
              </w:rPr>
              <w:t>4</w:t>
            </w:r>
            <w:r>
              <w:rPr>
                <w:b/>
                <w:w w:val="95"/>
                <w:sz w:val="24"/>
              </w:rPr>
              <w:t>、评价方法和评价标准</w:t>
            </w:r>
          </w:p>
          <w:p>
            <w:pPr>
              <w:pStyle w:val="TableParagraph"/>
              <w:spacing w:line="336" w:lineRule="auto" w:before="135"/>
              <w:ind w:left="580" w:right="572"/>
              <w:jc w:val="left"/>
              <w:rPr>
                <w:sz w:val="24"/>
              </w:rPr>
            </w:pPr>
            <w:r>
              <w:rPr>
                <w:spacing w:val="-8"/>
                <w:sz w:val="24"/>
              </w:rPr>
              <w:t>地表水执行《地表水环境质量标准》</w:t>
            </w:r>
            <w:r>
              <w:rPr>
                <w:sz w:val="24"/>
              </w:rPr>
              <w:t>（</w:t>
            </w:r>
            <w:r>
              <w:rPr>
                <w:rFonts w:ascii="Times New Roman" w:hAnsi="Times New Roman" w:eastAsia="Times New Roman"/>
                <w:sz w:val="24"/>
              </w:rPr>
              <w:t>GB3838-2002</w:t>
            </w:r>
            <w:r>
              <w:rPr>
                <w:sz w:val="24"/>
              </w:rPr>
              <w:t>）Ⅲ类水域标准。采用单项标准指数法评价，其数学模式如下：</w:t>
            </w:r>
          </w:p>
          <w:p>
            <w:pPr>
              <w:pStyle w:val="TableParagraph"/>
              <w:tabs>
                <w:tab w:pos="2536" w:val="left" w:leader="none"/>
              </w:tabs>
              <w:spacing w:line="406" w:lineRule="exact" w:before="94"/>
              <w:ind w:left="580"/>
              <w:jc w:val="left"/>
              <w:rPr>
                <w:rFonts w:ascii="Times New Roman" w:hAnsi="Times New Roman"/>
                <w:i/>
                <w:sz w:val="14"/>
              </w:rPr>
            </w:pPr>
            <w:r>
              <w:rPr>
                <w:sz w:val="24"/>
              </w:rPr>
              <w:t>一般污染物：</w:t>
              <w:tab/>
            </w:r>
            <w:r>
              <w:rPr>
                <w:rFonts w:ascii="Times New Roman" w:hAnsi="Times New Roman"/>
                <w:i/>
                <w:position w:val="-4"/>
                <w:sz w:val="24"/>
              </w:rPr>
              <w:t>S   </w:t>
            </w:r>
            <w:r>
              <w:rPr>
                <w:rFonts w:ascii="Symbol" w:hAnsi="Symbol"/>
                <w:position w:val="-4"/>
                <w:sz w:val="24"/>
              </w:rPr>
              <w:t></w:t>
            </w:r>
            <w:r>
              <w:rPr>
                <w:rFonts w:ascii="Times New Roman" w:hAnsi="Times New Roman"/>
                <w:spacing w:val="44"/>
                <w:position w:val="-4"/>
                <w:sz w:val="24"/>
              </w:rPr>
              <w:t> </w:t>
            </w:r>
            <w:r>
              <w:rPr>
                <w:rFonts w:ascii="Times New Roman" w:hAnsi="Times New Roman"/>
                <w:i/>
                <w:spacing w:val="-5"/>
                <w:position w:val="14"/>
                <w:sz w:val="24"/>
              </w:rPr>
              <w:t>C</w:t>
            </w:r>
            <w:r>
              <w:rPr>
                <w:rFonts w:ascii="Times New Roman" w:hAnsi="Times New Roman"/>
                <w:i/>
                <w:spacing w:val="-5"/>
                <w:position w:val="7"/>
                <w:sz w:val="14"/>
              </w:rPr>
              <w:t>ij</w:t>
            </w:r>
          </w:p>
          <w:p>
            <w:pPr>
              <w:pStyle w:val="TableParagraph"/>
              <w:tabs>
                <w:tab w:pos="3061" w:val="left" w:leader="none"/>
              </w:tabs>
              <w:spacing w:line="192" w:lineRule="exact"/>
              <w:ind w:left="2664"/>
              <w:jc w:val="left"/>
              <w:rPr>
                <w:rFonts w:ascii="Times New Roman"/>
                <w:i/>
                <w:sz w:val="24"/>
              </w:rPr>
            </w:pPr>
            <w:r>
              <w:rPr>
                <w:rFonts w:ascii="Times New Roman"/>
                <w:i/>
                <w:spacing w:val="-3"/>
                <w:sz w:val="14"/>
              </w:rPr>
              <w:t>ij</w:t>
              <w:tab/>
            </w:r>
            <w:r>
              <w:rPr>
                <w:rFonts w:ascii="Times New Roman"/>
                <w:i/>
                <w:position w:val="-12"/>
                <w:sz w:val="24"/>
              </w:rPr>
              <w:t>C</w:t>
            </w:r>
          </w:p>
          <w:p>
            <w:pPr>
              <w:pStyle w:val="TableParagraph"/>
              <w:spacing w:line="88" w:lineRule="exact"/>
              <w:ind w:left="31" w:right="1916"/>
              <w:rPr>
                <w:rFonts w:ascii="Times New Roman"/>
                <w:i/>
                <w:sz w:val="14"/>
              </w:rPr>
            </w:pPr>
            <w:r>
              <w:rPr>
                <w:rFonts w:ascii="Times New Roman"/>
                <w:i/>
                <w:sz w:val="14"/>
              </w:rPr>
              <w:t>is</w:t>
            </w:r>
          </w:p>
          <w:p>
            <w:pPr>
              <w:pStyle w:val="TableParagraph"/>
              <w:spacing w:line="331" w:lineRule="exact"/>
              <w:ind w:left="580"/>
              <w:jc w:val="left"/>
              <w:rPr>
                <w:sz w:val="24"/>
              </w:rPr>
            </w:pPr>
            <w:r>
              <w:rPr>
                <w:sz w:val="24"/>
              </w:rPr>
              <w:t>式中：</w:t>
            </w:r>
            <w:r>
              <w:rPr>
                <w:rFonts w:ascii="Times New Roman" w:hAnsi="Times New Roman" w:eastAsia="Times New Roman"/>
                <w:sz w:val="24"/>
              </w:rPr>
              <w:t>S</w:t>
            </w:r>
            <w:r>
              <w:rPr>
                <w:rFonts w:ascii="Times New Roman" w:hAnsi="Times New Roman" w:eastAsia="Times New Roman"/>
                <w:position w:val="-2"/>
                <w:sz w:val="16"/>
              </w:rPr>
              <w:t>ij</w:t>
            </w:r>
            <w:r>
              <w:rPr>
                <w:rFonts w:ascii="Times New Roman" w:hAnsi="Times New Roman" w:eastAsia="Times New Roman"/>
                <w:sz w:val="24"/>
              </w:rPr>
              <w:t>——i</w:t>
            </w:r>
            <w:r>
              <w:rPr>
                <w:sz w:val="24"/>
              </w:rPr>
              <w:t>污染物在监测点的</w:t>
            </w:r>
            <w:r>
              <w:rPr>
                <w:rFonts w:ascii="Times New Roman" w:hAnsi="Times New Roman" w:eastAsia="Times New Roman"/>
                <w:sz w:val="24"/>
              </w:rPr>
              <w:t>j</w:t>
            </w:r>
            <w:r>
              <w:rPr>
                <w:sz w:val="24"/>
              </w:rPr>
              <w:t>的标准指数；</w:t>
            </w:r>
          </w:p>
          <w:p>
            <w:pPr>
              <w:pStyle w:val="TableParagraph"/>
              <w:spacing w:before="121"/>
              <w:ind w:left="1300"/>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ij</w:t>
            </w:r>
            <w:r>
              <w:rPr>
                <w:rFonts w:ascii="Times New Roman" w:hAnsi="Times New Roman" w:eastAsia="Times New Roman"/>
                <w:sz w:val="24"/>
              </w:rPr>
              <w:t>——</w:t>
            </w:r>
            <w:r>
              <w:rPr>
                <w:rFonts w:ascii="Times New Roman" w:hAnsi="Times New Roman" w:eastAsia="Times New Roman"/>
                <w:spacing w:val="1"/>
                <w:sz w:val="24"/>
              </w:rPr>
              <w:t>i</w:t>
            </w:r>
            <w:r>
              <w:rPr>
                <w:spacing w:val="-1"/>
                <w:sz w:val="24"/>
              </w:rPr>
              <w:t>污染物在监测点</w:t>
            </w:r>
            <w:r>
              <w:rPr>
                <w:rFonts w:ascii="Times New Roman" w:hAnsi="Times New Roman" w:eastAsia="Times New Roman"/>
                <w:sz w:val="24"/>
              </w:rPr>
              <w:t>j</w:t>
            </w:r>
            <w:r>
              <w:rPr>
                <w:sz w:val="24"/>
              </w:rPr>
              <w:t>的浓度值（</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20"/>
                <w:sz w:val="24"/>
              </w:rPr>
              <w:t>）；</w:t>
            </w:r>
          </w:p>
          <w:p>
            <w:pPr>
              <w:pStyle w:val="TableParagraph"/>
              <w:spacing w:line="326" w:lineRule="auto" w:before="123"/>
              <w:ind w:left="1300" w:right="2416"/>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w:t>
            </w:r>
            <w:r>
              <w:rPr>
                <w:rFonts w:ascii="Times New Roman" w:hAnsi="Times New Roman" w:eastAsia="Times New Roman"/>
                <w:spacing w:val="-1"/>
                <w:w w:val="100"/>
                <w:position w:val="-2"/>
                <w:sz w:val="16"/>
              </w:rPr>
              <w:t>s</w:t>
            </w:r>
            <w:r>
              <w:rPr>
                <w:rFonts w:ascii="Times New Roman" w:hAnsi="Times New Roman" w:eastAsia="Times New Roman"/>
                <w:sz w:val="24"/>
              </w:rPr>
              <w:t>——i</w:t>
            </w:r>
            <w:r>
              <w:rPr>
                <w:spacing w:val="-1"/>
                <w:sz w:val="24"/>
              </w:rPr>
              <w:t>污染物的水环境质量标准值</w:t>
            </w:r>
            <w:r>
              <w:rPr>
                <w:sz w:val="24"/>
              </w:rPr>
              <w:t>（</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18"/>
                <w:sz w:val="24"/>
              </w:rPr>
              <w:t>）。 </w:t>
            </w:r>
            <w:r>
              <w:rPr>
                <w:rFonts w:ascii="Times New Roman" w:hAnsi="Times New Roman" w:eastAsia="Times New Roman"/>
                <w:sz w:val="24"/>
              </w:rPr>
              <w:t>pH</w:t>
            </w:r>
            <w:r>
              <w:rPr>
                <w:sz w:val="24"/>
              </w:rPr>
              <w:t>：</w:t>
            </w:r>
          </w:p>
          <w:p>
            <w:pPr>
              <w:pStyle w:val="TableParagraph"/>
              <w:tabs>
                <w:tab w:pos="624" w:val="left" w:leader="none"/>
                <w:tab w:pos="2844" w:val="left" w:leader="none"/>
              </w:tabs>
              <w:spacing w:line="400" w:lineRule="exact" w:before="59"/>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w w:val="105"/>
                <w:sz w:val="23"/>
              </w:rPr>
              <w:t>7.0 </w:t>
            </w:r>
            <w:r>
              <w:rPr>
                <w:rFonts w:ascii="Symbol" w:hAnsi="Symbol"/>
                <w:w w:val="105"/>
                <w:sz w:val="23"/>
              </w:rPr>
              <w:t></w:t>
            </w:r>
            <w:r>
              <w:rPr>
                <w:rFonts w:ascii="Times New Roman" w:hAnsi="Times New Roman"/>
                <w:spacing w:val="14"/>
                <w:w w:val="105"/>
                <w:sz w:val="23"/>
              </w:rPr>
              <w:t> </w:t>
            </w:r>
            <w:r>
              <w:rPr>
                <w:rFonts w:ascii="Times New Roman" w:hAnsi="Times New Roman"/>
                <w:i/>
                <w:w w:val="105"/>
                <w:sz w:val="23"/>
              </w:rPr>
              <w:t>pH</w:t>
            </w:r>
            <w:r>
              <w:rPr>
                <w:rFonts w:ascii="Times New Roman" w:hAnsi="Times New Roman"/>
                <w:i/>
                <w:spacing w:val="3"/>
                <w:w w:val="105"/>
                <w:sz w:val="23"/>
              </w:rPr>
              <w:t> </w:t>
            </w:r>
            <w:r>
              <w:rPr>
                <w:rFonts w:ascii="Times New Roman" w:hAnsi="Times New Roman"/>
                <w:i/>
                <w:w w:val="105"/>
                <w:position w:val="-5"/>
                <w:sz w:val="16"/>
              </w:rPr>
              <w:t>j</w:t>
              <w:tab/>
            </w:r>
            <w:r>
              <w:rPr>
                <w:rFonts w:ascii="Times New Roman" w:hAnsi="Times New Roman"/>
                <w:w w:val="105"/>
                <w:position w:val="-11"/>
                <w:sz w:val="21"/>
              </w:rPr>
              <w:t>pH</w:t>
            </w:r>
            <w:r>
              <w:rPr>
                <w:rFonts w:ascii="Times New Roman" w:hAnsi="Times New Roman"/>
                <w:w w:val="105"/>
                <w:position w:val="-14"/>
                <w:sz w:val="14"/>
              </w:rPr>
              <w:t>j</w:t>
            </w:r>
            <w:r>
              <w:rPr>
                <w:w w:val="105"/>
                <w:position w:val="-11"/>
                <w:sz w:val="21"/>
              </w:rPr>
              <w:t>≤</w:t>
            </w:r>
            <w:r>
              <w:rPr>
                <w:rFonts w:ascii="Times New Roman" w:hAnsi="Times New Roman"/>
                <w:w w:val="105"/>
                <w:position w:val="-11"/>
                <w:sz w:val="21"/>
              </w:rPr>
              <w:t>7.0</w:t>
            </w:r>
          </w:p>
          <w:p>
            <w:pPr>
              <w:pStyle w:val="TableParagraph"/>
              <w:tabs>
                <w:tab w:pos="3223" w:val="left" w:leader="none"/>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9"/>
                <w:w w:val="105"/>
                <w:position w:val="12"/>
                <w:sz w:val="16"/>
              </w:rPr>
              <w:t> </w:t>
            </w:r>
            <w:r>
              <w:rPr>
                <w:rFonts w:ascii="Times New Roman" w:hAnsi="Times New Roman"/>
                <w:i/>
                <w:w w:val="105"/>
                <w:position w:val="12"/>
                <w:sz w:val="16"/>
              </w:rPr>
              <w:t>j</w:t>
              <w:tab/>
            </w:r>
            <w:r>
              <w:rPr>
                <w:rFonts w:ascii="Times New Roman" w:hAnsi="Times New Roman"/>
                <w:w w:val="105"/>
                <w:sz w:val="23"/>
              </w:rPr>
              <w:t>7.0 </w:t>
            </w:r>
            <w:r>
              <w:rPr>
                <w:rFonts w:ascii="Symbol" w:hAnsi="Symbol"/>
                <w:w w:val="105"/>
                <w:sz w:val="23"/>
              </w:rPr>
              <w:t></w:t>
            </w:r>
            <w:r>
              <w:rPr>
                <w:rFonts w:ascii="Times New Roman" w:hAnsi="Times New Roman"/>
                <w:spacing w:val="-35"/>
                <w:w w:val="105"/>
                <w:sz w:val="23"/>
              </w:rPr>
              <w:t> </w:t>
            </w:r>
            <w:r>
              <w:rPr>
                <w:rFonts w:ascii="Times New Roman" w:hAnsi="Times New Roman"/>
                <w:i/>
                <w:spacing w:val="5"/>
                <w:w w:val="105"/>
                <w:sz w:val="23"/>
              </w:rPr>
              <w:t>pH</w:t>
            </w:r>
            <w:r>
              <w:rPr>
                <w:rFonts w:ascii="Times New Roman" w:hAnsi="Times New Roman"/>
                <w:i/>
                <w:spacing w:val="5"/>
                <w:w w:val="105"/>
                <w:position w:val="-5"/>
                <w:sz w:val="16"/>
              </w:rPr>
              <w:t>sd</w:t>
            </w:r>
          </w:p>
          <w:p>
            <w:pPr>
              <w:pStyle w:val="TableParagraph"/>
              <w:tabs>
                <w:tab w:pos="633" w:val="left" w:leader="none"/>
                <w:tab w:pos="2865" w:val="left" w:leader="none"/>
              </w:tabs>
              <w:spacing w:line="401" w:lineRule="exact" w:before="128"/>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i/>
                <w:w w:val="105"/>
                <w:sz w:val="23"/>
              </w:rPr>
              <w:t>pH </w:t>
            </w:r>
            <w:r>
              <w:rPr>
                <w:rFonts w:ascii="Times New Roman" w:hAnsi="Times New Roman"/>
                <w:i/>
                <w:w w:val="105"/>
                <w:position w:val="-5"/>
                <w:sz w:val="16"/>
              </w:rPr>
              <w:t>j</w:t>
            </w:r>
            <w:r>
              <w:rPr>
                <w:rFonts w:ascii="Times New Roman" w:hAnsi="Times New Roman"/>
                <w:i/>
                <w:spacing w:val="34"/>
                <w:w w:val="105"/>
                <w:position w:val="-5"/>
                <w:sz w:val="16"/>
              </w:rPr>
              <w:t> </w:t>
            </w:r>
            <w:r>
              <w:rPr>
                <w:rFonts w:ascii="Symbol" w:hAnsi="Symbol"/>
                <w:w w:val="105"/>
                <w:sz w:val="23"/>
              </w:rPr>
              <w:t></w:t>
            </w:r>
            <w:r>
              <w:rPr>
                <w:rFonts w:ascii="Times New Roman" w:hAnsi="Times New Roman"/>
                <w:spacing w:val="-17"/>
                <w:w w:val="105"/>
                <w:sz w:val="23"/>
              </w:rPr>
              <w:t> </w:t>
            </w:r>
            <w:r>
              <w:rPr>
                <w:rFonts w:ascii="Times New Roman" w:hAnsi="Times New Roman"/>
                <w:w w:val="105"/>
                <w:sz w:val="23"/>
              </w:rPr>
              <w:t>7.0</w:t>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w:t>
            </w:r>
            <w:r>
              <w:rPr>
                <w:rFonts w:ascii="Times New Roman" w:hAnsi="Times New Roman"/>
                <w:position w:val="-12"/>
                <w:sz w:val="21"/>
              </w:rPr>
              <w:t>&gt;7.0</w:t>
            </w:r>
          </w:p>
          <w:p>
            <w:pPr>
              <w:pStyle w:val="TableParagraph"/>
              <w:tabs>
                <w:tab w:pos="3279" w:val="left" w:leader="none"/>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3"/>
                <w:w w:val="105"/>
                <w:position w:val="12"/>
                <w:sz w:val="16"/>
              </w:rPr>
              <w:t> </w:t>
            </w:r>
            <w:r>
              <w:rPr>
                <w:rFonts w:ascii="Times New Roman" w:hAnsi="Times New Roman"/>
                <w:i/>
                <w:w w:val="105"/>
                <w:position w:val="12"/>
                <w:sz w:val="16"/>
              </w:rPr>
              <w:t>j</w:t>
              <w:tab/>
            </w:r>
            <w:r>
              <w:rPr>
                <w:rFonts w:ascii="Times New Roman" w:hAnsi="Times New Roman"/>
                <w:i/>
                <w:spacing w:val="4"/>
                <w:w w:val="105"/>
                <w:sz w:val="23"/>
              </w:rPr>
              <w:t>pH</w:t>
            </w:r>
            <w:r>
              <w:rPr>
                <w:rFonts w:ascii="Times New Roman" w:hAnsi="Times New Roman"/>
                <w:i/>
                <w:spacing w:val="4"/>
                <w:w w:val="105"/>
                <w:position w:val="-5"/>
                <w:sz w:val="16"/>
              </w:rPr>
              <w:t>su  </w:t>
            </w:r>
            <w:r>
              <w:rPr>
                <w:rFonts w:ascii="Symbol" w:hAnsi="Symbol"/>
                <w:w w:val="105"/>
                <w:sz w:val="23"/>
              </w:rPr>
              <w:t></w:t>
            </w:r>
            <w:r>
              <w:rPr>
                <w:rFonts w:ascii="Times New Roman" w:hAnsi="Times New Roman"/>
                <w:spacing w:val="-30"/>
                <w:w w:val="105"/>
                <w:sz w:val="23"/>
              </w:rPr>
              <w:t> </w:t>
            </w:r>
            <w:r>
              <w:rPr>
                <w:rFonts w:ascii="Times New Roman" w:hAnsi="Times New Roman"/>
                <w:w w:val="105"/>
                <w:sz w:val="23"/>
              </w:rPr>
              <w:t>7.0</w:t>
            </w:r>
          </w:p>
          <w:p>
            <w:pPr>
              <w:pStyle w:val="TableParagraph"/>
              <w:spacing w:before="85"/>
              <w:ind w:left="580"/>
              <w:jc w:val="left"/>
              <w:rPr>
                <w:sz w:val="24"/>
              </w:rPr>
            </w:pPr>
            <w:r>
              <w:rPr>
                <w:sz w:val="24"/>
              </w:rPr>
              <w:t>式中：</w:t>
            </w:r>
            <w:r>
              <w:rPr>
                <w:rFonts w:ascii="Times New Roman" w:hAnsi="Times New Roman" w:eastAsia="Times New Roman"/>
                <w:sz w:val="24"/>
              </w:rPr>
              <w:t>pH</w:t>
            </w:r>
            <w:r>
              <w:rPr>
                <w:rFonts w:ascii="Times New Roman" w:hAnsi="Times New Roman" w:eastAsia="Times New Roman"/>
                <w:position w:val="-2"/>
                <w:sz w:val="16"/>
              </w:rPr>
              <w:t>j</w:t>
            </w:r>
            <w:r>
              <w:rPr>
                <w:rFonts w:ascii="Times New Roman" w:hAnsi="Times New Roman" w:eastAsia="Times New Roman"/>
                <w:sz w:val="24"/>
              </w:rPr>
              <w:t>——</w:t>
            </w:r>
            <w:r>
              <w:rPr>
                <w:sz w:val="24"/>
              </w:rPr>
              <w:t>监测点</w:t>
            </w:r>
            <w:r>
              <w:rPr>
                <w:rFonts w:ascii="Times New Roman" w:hAnsi="Times New Roman" w:eastAsia="Times New Roman"/>
                <w:sz w:val="24"/>
              </w:rPr>
              <w:t>j</w:t>
            </w:r>
            <w:r>
              <w:rPr>
                <w:sz w:val="24"/>
              </w:rPr>
              <w:t>的</w:t>
            </w:r>
            <w:r>
              <w:rPr>
                <w:rFonts w:ascii="Times New Roman" w:hAnsi="Times New Roman" w:eastAsia="Times New Roman"/>
                <w:sz w:val="24"/>
              </w:rPr>
              <w:t>pH</w:t>
            </w:r>
            <w:r>
              <w:rPr>
                <w:sz w:val="24"/>
              </w:rPr>
              <w:t>值；</w:t>
            </w:r>
            <w:r>
              <w:rPr>
                <w:rFonts w:ascii="Times New Roman" w:hAnsi="Times New Roman" w:eastAsia="Times New Roman"/>
                <w:sz w:val="24"/>
              </w:rPr>
              <w:t>pH</w:t>
            </w:r>
            <w:r>
              <w:rPr>
                <w:rFonts w:ascii="Times New Roman" w:hAnsi="Times New Roman" w:eastAsia="Times New Roman"/>
                <w:position w:val="-2"/>
                <w:sz w:val="16"/>
              </w:rPr>
              <w:t>sd</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下限值；</w:t>
            </w:r>
          </w:p>
          <w:p>
            <w:pPr>
              <w:pStyle w:val="TableParagraph"/>
              <w:spacing w:line="326" w:lineRule="auto" w:before="123"/>
              <w:ind w:left="1300" w:right="3729"/>
              <w:jc w:val="left"/>
              <w:rPr>
                <w:sz w:val="24"/>
              </w:rPr>
            </w:pPr>
            <w:r>
              <w:rPr>
                <w:rFonts w:ascii="Times New Roman" w:hAnsi="Times New Roman" w:eastAsia="Times New Roman"/>
                <w:sz w:val="24"/>
              </w:rPr>
              <w:t>pH</w:t>
            </w:r>
            <w:r>
              <w:rPr>
                <w:rFonts w:ascii="Times New Roman" w:hAnsi="Times New Roman" w:eastAsia="Times New Roman"/>
                <w:position w:val="-2"/>
                <w:sz w:val="16"/>
              </w:rPr>
              <w:t>su</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的上限值。</w:t>
            </w:r>
            <w:r>
              <w:rPr>
                <w:rFonts w:ascii="Times New Roman" w:hAnsi="Times New Roman" w:eastAsia="Times New Roman"/>
                <w:sz w:val="24"/>
              </w:rPr>
              <w:t>DO</w:t>
            </w:r>
            <w:r>
              <w:rPr>
                <w:sz w:val="24"/>
              </w:rPr>
              <w:t>：</w:t>
            </w:r>
          </w:p>
          <w:p>
            <w:pPr>
              <w:pStyle w:val="TableParagraph"/>
              <w:tabs>
                <w:tab w:pos="3912" w:val="left" w:leader="none"/>
                <w:tab w:pos="4828" w:val="left" w:leader="none"/>
              </w:tabs>
              <w:spacing w:line="340" w:lineRule="auto" w:before="40"/>
              <w:ind w:left="1300" w:right="2652"/>
              <w:jc w:val="left"/>
              <w:rPr>
                <w:rFonts w:ascii="Times New Roman" w:hAnsi="Times New Roman" w:eastAsia="Times New Roman"/>
                <w:sz w:val="24"/>
              </w:rPr>
            </w:pP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s</w:t>
            </w:r>
            <w:r>
              <w:rPr>
                <w:rFonts w:ascii="Times New Roman" w:hAnsi="Times New Roman" w:eastAsia="Times New Roman"/>
                <w:sz w:val="24"/>
              </w:rPr>
              <w:t>)</w:t>
              <w:tab/>
              <w:t>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=10-9DO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w:t>
              <w:tab/>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=468/(31.6+T)</w:t>
            </w:r>
          </w:p>
          <w:p>
            <w:pPr>
              <w:pStyle w:val="TableParagraph"/>
              <w:spacing w:line="305" w:lineRule="exact"/>
              <w:ind w:left="583"/>
              <w:jc w:val="left"/>
              <w:rPr>
                <w:b/>
                <w:sz w:val="24"/>
              </w:rPr>
            </w:pPr>
            <w:r>
              <w:rPr>
                <w:rFonts w:ascii="Times New Roman" w:eastAsia="Times New Roman"/>
                <w:b/>
                <w:w w:val="95"/>
                <w:sz w:val="24"/>
              </w:rPr>
              <w:t>5</w:t>
            </w:r>
            <w:r>
              <w:rPr>
                <w:b/>
                <w:w w:val="95"/>
                <w:sz w:val="24"/>
              </w:rPr>
              <w:t>、地表水现状监测结果</w:t>
            </w:r>
          </w:p>
          <w:p>
            <w:pPr>
              <w:pStyle w:val="TableParagraph"/>
              <w:spacing w:before="136"/>
              <w:ind w:left="580"/>
              <w:jc w:val="left"/>
              <w:rPr>
                <w:sz w:val="24"/>
              </w:rPr>
            </w:pPr>
            <w:r>
              <w:rPr>
                <w:sz w:val="24"/>
              </w:rPr>
              <w:t>地表水现状监测结果见下表。</w:t>
            </w:r>
          </w:p>
          <w:p>
            <w:pPr>
              <w:pStyle w:val="TableParagraph"/>
              <w:tabs>
                <w:tab w:pos="870" w:val="left" w:leader="none"/>
                <w:tab w:pos="4485" w:val="left" w:leader="none"/>
              </w:tabs>
              <w:spacing w:before="151"/>
              <w:ind w:left="68"/>
              <w:rPr>
                <w:b/>
                <w:sz w:val="24"/>
              </w:rPr>
            </w:pPr>
            <w:r>
              <w:rPr>
                <w:b/>
                <w:sz w:val="24"/>
              </w:rPr>
              <w:t>表</w:t>
            </w:r>
            <w:r>
              <w:rPr>
                <w:rFonts w:ascii="Times New Roman" w:eastAsia="Times New Roman"/>
                <w:b/>
                <w:sz w:val="24"/>
              </w:rPr>
              <w:t>3-5</w:t>
              <w:tab/>
            </w:r>
            <w:r>
              <w:rPr>
                <w:b/>
                <w:sz w:val="24"/>
              </w:rPr>
              <w:t>水环境质量现状监测结果及评价</w:t>
              <w:tab/>
            </w:r>
            <w:r>
              <w:rPr>
                <w:b/>
                <w:w w:val="95"/>
                <w:sz w:val="24"/>
              </w:rPr>
              <w:t>单位：</w:t>
            </w:r>
            <w:r>
              <w:rPr>
                <w:rFonts w:ascii="Times New Roman" w:eastAsia="Times New Roman"/>
                <w:b/>
                <w:w w:val="95"/>
                <w:sz w:val="24"/>
              </w:rPr>
              <w:t>mg/L</w:t>
            </w:r>
            <w:r>
              <w:rPr>
                <w:b/>
                <w:w w:val="95"/>
                <w:sz w:val="24"/>
              </w:rPr>
              <w:t>，</w:t>
            </w:r>
            <w:r>
              <w:rPr>
                <w:rFonts w:ascii="Times New Roman" w:eastAsia="Times New Roman"/>
                <w:b/>
                <w:w w:val="95"/>
                <w:sz w:val="24"/>
              </w:rPr>
              <w:t>pH</w:t>
            </w:r>
            <w:r>
              <w:rPr>
                <w:b/>
                <w:w w:val="95"/>
                <w:sz w:val="24"/>
              </w:rPr>
              <w:t>无量纲</w:t>
            </w:r>
          </w:p>
        </w:tc>
      </w:tr>
      <w:tr>
        <w:trPr>
          <w:trHeight w:val="314" w:hRule="exact"/>
        </w:trPr>
        <w:tc>
          <w:tcPr>
            <w:tcW w:w="281" w:type="dxa"/>
            <w:vMerge w:val="restart"/>
            <w:tcBorders>
              <w:top w:val="nil"/>
            </w:tcBorders>
          </w:tcPr>
          <w:p>
            <w:pPr/>
          </w:p>
        </w:tc>
        <w:tc>
          <w:tcPr>
            <w:tcW w:w="886" w:type="dxa"/>
            <w:vMerge w:val="restart"/>
          </w:tcPr>
          <w:p>
            <w:pPr>
              <w:pStyle w:val="TableParagraph"/>
              <w:spacing w:before="126"/>
              <w:ind w:left="225"/>
              <w:jc w:val="left"/>
              <w:rPr>
                <w:sz w:val="21"/>
              </w:rPr>
            </w:pPr>
            <w:r>
              <w:rPr>
                <w:sz w:val="21"/>
              </w:rPr>
              <w:t>断面</w:t>
            </w:r>
          </w:p>
        </w:tc>
        <w:tc>
          <w:tcPr>
            <w:tcW w:w="1661" w:type="dxa"/>
            <w:vMerge w:val="restart"/>
          </w:tcPr>
          <w:p>
            <w:pPr>
              <w:pStyle w:val="TableParagraph"/>
              <w:spacing w:before="126"/>
              <w:ind w:left="403"/>
              <w:jc w:val="left"/>
              <w:rPr>
                <w:sz w:val="21"/>
              </w:rPr>
            </w:pPr>
            <w:r>
              <w:rPr>
                <w:sz w:val="21"/>
              </w:rPr>
              <w:t>监测项目</w:t>
            </w:r>
          </w:p>
        </w:tc>
        <w:tc>
          <w:tcPr>
            <w:tcW w:w="3992" w:type="dxa"/>
            <w:gridSpan w:val="3"/>
          </w:tcPr>
          <w:p>
            <w:pPr>
              <w:pStyle w:val="TableParagraph"/>
              <w:spacing w:line="255" w:lineRule="exact"/>
              <w:ind w:left="1252"/>
              <w:jc w:val="left"/>
              <w:rPr>
                <w:sz w:val="21"/>
              </w:rPr>
            </w:pPr>
            <w:r>
              <w:rPr>
                <w:sz w:val="21"/>
              </w:rPr>
              <w:t>监测时间及结果</w:t>
            </w:r>
          </w:p>
        </w:tc>
        <w:tc>
          <w:tcPr>
            <w:tcW w:w="1330" w:type="dxa"/>
            <w:vMerge w:val="restart"/>
          </w:tcPr>
          <w:p>
            <w:pPr>
              <w:pStyle w:val="TableParagraph"/>
              <w:spacing w:before="126"/>
              <w:ind w:left="375" w:right="375"/>
              <w:rPr>
                <w:sz w:val="21"/>
              </w:rPr>
            </w:pPr>
            <w:r>
              <w:rPr>
                <w:sz w:val="21"/>
              </w:rPr>
              <w:t>标准</w:t>
            </w:r>
          </w:p>
        </w:tc>
        <w:tc>
          <w:tcPr>
            <w:tcW w:w="283" w:type="dxa"/>
            <w:vMerge w:val="restart"/>
            <w:tcBorders>
              <w:top w:val="nil"/>
            </w:tcBorders>
          </w:tcPr>
          <w:p>
            <w:pPr/>
          </w:p>
        </w:tc>
      </w:tr>
      <w:tr>
        <w:trPr>
          <w:trHeight w:val="290" w:hRule="exact"/>
        </w:trPr>
        <w:tc>
          <w:tcPr>
            <w:tcW w:w="281" w:type="dxa"/>
            <w:vMerge/>
          </w:tcPr>
          <w:p>
            <w:pPr/>
          </w:p>
        </w:tc>
        <w:tc>
          <w:tcPr>
            <w:tcW w:w="886" w:type="dxa"/>
            <w:vMerge/>
          </w:tcPr>
          <w:p>
            <w:pPr/>
          </w:p>
        </w:tc>
        <w:tc>
          <w:tcPr>
            <w:tcW w:w="1661" w:type="dxa"/>
            <w:vMerge/>
          </w:tcPr>
          <w:p>
            <w:pPr/>
          </w:p>
        </w:tc>
        <w:tc>
          <w:tcPr>
            <w:tcW w:w="1332" w:type="dxa"/>
          </w:tcPr>
          <w:p>
            <w:pPr>
              <w:pStyle w:val="TableParagraph"/>
              <w:spacing w:before="12"/>
              <w:ind w:left="220" w:right="216"/>
              <w:rPr>
                <w:rFonts w:ascii="Times New Roman"/>
                <w:sz w:val="21"/>
              </w:rPr>
            </w:pPr>
            <w:r>
              <w:rPr>
                <w:rFonts w:ascii="Times New Roman"/>
                <w:sz w:val="21"/>
              </w:rPr>
              <w:t>2017.8.14</w:t>
            </w:r>
          </w:p>
        </w:tc>
        <w:tc>
          <w:tcPr>
            <w:tcW w:w="1330" w:type="dxa"/>
          </w:tcPr>
          <w:p>
            <w:pPr>
              <w:pStyle w:val="TableParagraph"/>
              <w:spacing w:before="12"/>
              <w:ind w:left="218" w:right="216"/>
              <w:rPr>
                <w:rFonts w:ascii="Times New Roman"/>
                <w:sz w:val="21"/>
              </w:rPr>
            </w:pPr>
            <w:r>
              <w:rPr>
                <w:rFonts w:ascii="Times New Roman"/>
                <w:sz w:val="21"/>
              </w:rPr>
              <w:t>2017.8.15</w:t>
            </w:r>
          </w:p>
        </w:tc>
        <w:tc>
          <w:tcPr>
            <w:tcW w:w="1330" w:type="dxa"/>
          </w:tcPr>
          <w:p>
            <w:pPr>
              <w:pStyle w:val="TableParagraph"/>
              <w:spacing w:before="12"/>
              <w:ind w:left="218" w:right="216"/>
              <w:rPr>
                <w:rFonts w:ascii="Times New Roman"/>
                <w:sz w:val="21"/>
              </w:rPr>
            </w:pPr>
            <w:r>
              <w:rPr>
                <w:rFonts w:ascii="Times New Roman"/>
                <w:sz w:val="21"/>
              </w:rPr>
              <w:t>2017.8.16</w:t>
            </w:r>
          </w:p>
        </w:tc>
        <w:tc>
          <w:tcPr>
            <w:tcW w:w="1330" w:type="dxa"/>
            <w:vMerge/>
          </w:tcPr>
          <w:p>
            <w:pPr/>
          </w:p>
        </w:tc>
        <w:tc>
          <w:tcPr>
            <w:tcW w:w="283" w:type="dxa"/>
            <w:vMerge/>
          </w:tcPr>
          <w:p>
            <w:pPr/>
          </w:p>
        </w:tc>
      </w:tr>
      <w:tr>
        <w:trPr>
          <w:trHeight w:val="372" w:hRule="exact"/>
        </w:trPr>
        <w:tc>
          <w:tcPr>
            <w:tcW w:w="281" w:type="dxa"/>
            <w:vMerge/>
          </w:tcPr>
          <w:p>
            <w:pPr/>
          </w:p>
        </w:tc>
        <w:tc>
          <w:tcPr>
            <w:tcW w:w="886" w:type="dxa"/>
            <w:vMerge w:val="restart"/>
          </w:tcPr>
          <w:p>
            <w:pPr>
              <w:pStyle w:val="TableParagraph"/>
              <w:jc w:val="left"/>
              <w:rPr>
                <w:sz w:val="22"/>
              </w:rPr>
            </w:pPr>
          </w:p>
          <w:p>
            <w:pPr>
              <w:pStyle w:val="TableParagraph"/>
              <w:spacing w:before="2"/>
              <w:jc w:val="left"/>
              <w:rPr>
                <w:sz w:val="21"/>
              </w:rPr>
            </w:pPr>
          </w:p>
          <w:p>
            <w:pPr>
              <w:pStyle w:val="TableParagraph"/>
              <w:ind w:left="283"/>
              <w:jc w:val="left"/>
              <w:rPr>
                <w:rFonts w:ascii="Times New Roman"/>
                <w:sz w:val="21"/>
              </w:rPr>
            </w:pPr>
            <w:r>
              <w:rPr>
                <w:rFonts w:ascii="Times New Roman"/>
                <w:sz w:val="21"/>
              </w:rPr>
              <w:t>W1</w:t>
            </w:r>
          </w:p>
        </w:tc>
        <w:tc>
          <w:tcPr>
            <w:tcW w:w="1661" w:type="dxa"/>
          </w:tcPr>
          <w:p>
            <w:pPr>
              <w:pStyle w:val="TableParagraph"/>
              <w:spacing w:before="51"/>
              <w:ind w:left="489" w:right="486"/>
              <w:rPr>
                <w:rFonts w:ascii="Times New Roman"/>
                <w:sz w:val="21"/>
              </w:rPr>
            </w:pPr>
            <w:r>
              <w:rPr>
                <w:rFonts w:ascii="Times New Roman"/>
                <w:sz w:val="21"/>
              </w:rPr>
              <w:t>pH</w:t>
            </w:r>
          </w:p>
        </w:tc>
        <w:tc>
          <w:tcPr>
            <w:tcW w:w="1332" w:type="dxa"/>
          </w:tcPr>
          <w:p>
            <w:pPr>
              <w:pStyle w:val="TableParagraph"/>
              <w:spacing w:before="51"/>
              <w:ind w:left="218" w:right="216"/>
              <w:rPr>
                <w:rFonts w:ascii="Times New Roman"/>
                <w:sz w:val="21"/>
              </w:rPr>
            </w:pPr>
            <w:r>
              <w:rPr>
                <w:rFonts w:ascii="Times New Roman"/>
                <w:sz w:val="21"/>
              </w:rPr>
              <w:t>7.84</w:t>
            </w:r>
          </w:p>
        </w:tc>
        <w:tc>
          <w:tcPr>
            <w:tcW w:w="1330" w:type="dxa"/>
          </w:tcPr>
          <w:p>
            <w:pPr>
              <w:pStyle w:val="TableParagraph"/>
              <w:spacing w:before="51"/>
              <w:ind w:left="216" w:right="216"/>
              <w:rPr>
                <w:rFonts w:ascii="Times New Roman"/>
                <w:sz w:val="21"/>
              </w:rPr>
            </w:pPr>
            <w:r>
              <w:rPr>
                <w:rFonts w:ascii="Times New Roman"/>
                <w:sz w:val="21"/>
              </w:rPr>
              <w:t>7.95</w:t>
            </w:r>
          </w:p>
        </w:tc>
        <w:tc>
          <w:tcPr>
            <w:tcW w:w="1330" w:type="dxa"/>
          </w:tcPr>
          <w:p>
            <w:pPr>
              <w:pStyle w:val="TableParagraph"/>
              <w:spacing w:before="51"/>
              <w:ind w:left="216" w:right="216"/>
              <w:rPr>
                <w:rFonts w:ascii="Times New Roman"/>
                <w:sz w:val="21"/>
              </w:rPr>
            </w:pPr>
            <w:r>
              <w:rPr>
                <w:rFonts w:ascii="Times New Roman"/>
                <w:sz w:val="21"/>
              </w:rPr>
              <w:t>7.72</w:t>
            </w:r>
          </w:p>
        </w:tc>
        <w:tc>
          <w:tcPr>
            <w:tcW w:w="1330" w:type="dxa"/>
          </w:tcPr>
          <w:p>
            <w:pPr>
              <w:pStyle w:val="TableParagraph"/>
              <w:spacing w:before="51"/>
              <w:ind w:left="373" w:right="375"/>
              <w:rPr>
                <w:rFonts w:ascii="Times New Roman"/>
                <w:sz w:val="21"/>
              </w:rPr>
            </w:pPr>
            <w:r>
              <w:rPr>
                <w:rFonts w:ascii="Times New Roman"/>
                <w:sz w:val="21"/>
              </w:rPr>
              <w:t>6-9</w:t>
            </w:r>
          </w:p>
        </w:tc>
        <w:tc>
          <w:tcPr>
            <w:tcW w:w="283" w:type="dxa"/>
            <w:vMerge/>
          </w:tcPr>
          <w:p>
            <w:pPr/>
          </w:p>
        </w:tc>
      </w:tr>
      <w:tr>
        <w:trPr>
          <w:trHeight w:val="254" w:hRule="exact"/>
        </w:trPr>
        <w:tc>
          <w:tcPr>
            <w:tcW w:w="281" w:type="dxa"/>
            <w:vMerge/>
          </w:tcPr>
          <w:p>
            <w:pPr/>
          </w:p>
        </w:tc>
        <w:tc>
          <w:tcPr>
            <w:tcW w:w="886" w:type="dxa"/>
            <w:vMerge/>
          </w:tcPr>
          <w:p>
            <w:pPr/>
          </w:p>
        </w:tc>
        <w:tc>
          <w:tcPr>
            <w:tcW w:w="1661" w:type="dxa"/>
          </w:tcPr>
          <w:p>
            <w:pPr>
              <w:pStyle w:val="TableParagraph"/>
              <w:spacing w:line="235" w:lineRule="exact"/>
              <w:ind w:left="488" w:right="486"/>
              <w:rPr>
                <w:rFonts w:ascii="Times New Roman"/>
                <w:sz w:val="21"/>
              </w:rPr>
            </w:pPr>
            <w:r>
              <w:rPr>
                <w:rFonts w:ascii="Times New Roman"/>
                <w:sz w:val="21"/>
              </w:rPr>
              <w:t>COD</w:t>
            </w:r>
          </w:p>
        </w:tc>
        <w:tc>
          <w:tcPr>
            <w:tcW w:w="1332" w:type="dxa"/>
          </w:tcPr>
          <w:p>
            <w:pPr>
              <w:pStyle w:val="TableParagraph"/>
              <w:spacing w:line="235" w:lineRule="exact"/>
              <w:ind w:left="2"/>
              <w:rPr>
                <w:rFonts w:ascii="Times New Roman"/>
                <w:sz w:val="21"/>
              </w:rPr>
            </w:pPr>
            <w:r>
              <w:rPr>
                <w:rFonts w:ascii="Times New Roman"/>
                <w:w w:val="100"/>
                <w:sz w:val="21"/>
              </w:rPr>
              <w:t>4</w:t>
            </w:r>
          </w:p>
        </w:tc>
        <w:tc>
          <w:tcPr>
            <w:tcW w:w="1330" w:type="dxa"/>
          </w:tcPr>
          <w:p>
            <w:pPr>
              <w:pStyle w:val="TableParagraph"/>
              <w:spacing w:line="235" w:lineRule="exact"/>
              <w:rPr>
                <w:rFonts w:ascii="Times New Roman"/>
                <w:sz w:val="21"/>
              </w:rPr>
            </w:pPr>
            <w:r>
              <w:rPr>
                <w:rFonts w:ascii="Times New Roman"/>
                <w:w w:val="100"/>
                <w:sz w:val="21"/>
              </w:rPr>
              <w:t>5</w:t>
            </w:r>
          </w:p>
        </w:tc>
        <w:tc>
          <w:tcPr>
            <w:tcW w:w="1330" w:type="dxa"/>
          </w:tcPr>
          <w:p>
            <w:pPr>
              <w:pStyle w:val="TableParagraph"/>
              <w:spacing w:line="235" w:lineRule="exact"/>
              <w:rPr>
                <w:rFonts w:ascii="Times New Roman"/>
                <w:sz w:val="21"/>
              </w:rPr>
            </w:pPr>
            <w:r>
              <w:rPr>
                <w:rFonts w:ascii="Times New Roman"/>
                <w:w w:val="100"/>
                <w:sz w:val="21"/>
              </w:rPr>
              <w:t>6</w:t>
            </w:r>
          </w:p>
        </w:tc>
        <w:tc>
          <w:tcPr>
            <w:tcW w:w="1330" w:type="dxa"/>
          </w:tcPr>
          <w:p>
            <w:pPr>
              <w:pStyle w:val="TableParagraph"/>
              <w:spacing w:line="235"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37" w:lineRule="exact"/>
              <w:ind w:left="218" w:right="216"/>
              <w:rPr>
                <w:rFonts w:ascii="Times New Roman"/>
                <w:sz w:val="21"/>
              </w:rPr>
            </w:pPr>
            <w:r>
              <w:rPr>
                <w:rFonts w:ascii="Times New Roman"/>
                <w:sz w:val="21"/>
              </w:rPr>
              <w:t>0.7</w:t>
            </w:r>
          </w:p>
        </w:tc>
        <w:tc>
          <w:tcPr>
            <w:tcW w:w="1330" w:type="dxa"/>
          </w:tcPr>
          <w:p>
            <w:pPr>
              <w:pStyle w:val="TableParagraph"/>
              <w:spacing w:line="237" w:lineRule="exact"/>
              <w:ind w:left="216" w:right="216"/>
              <w:rPr>
                <w:rFonts w:ascii="Times New Roman"/>
                <w:sz w:val="21"/>
              </w:rPr>
            </w:pPr>
            <w:r>
              <w:rPr>
                <w:rFonts w:ascii="Times New Roman"/>
                <w:sz w:val="21"/>
              </w:rPr>
              <w:t>0.6</w:t>
            </w:r>
          </w:p>
        </w:tc>
        <w:tc>
          <w:tcPr>
            <w:tcW w:w="1330" w:type="dxa"/>
          </w:tcPr>
          <w:p>
            <w:pPr>
              <w:pStyle w:val="TableParagraph"/>
              <w:spacing w:line="237" w:lineRule="exact"/>
              <w:ind w:left="216" w:right="216"/>
              <w:rPr>
                <w:rFonts w:ascii="Times New Roman"/>
                <w:sz w:val="21"/>
              </w:rPr>
            </w:pPr>
            <w:r>
              <w:rPr>
                <w:rFonts w:ascii="Times New Roman"/>
                <w:sz w:val="21"/>
              </w:rPr>
              <w:t>1.1</w:t>
            </w:r>
          </w:p>
        </w:tc>
        <w:tc>
          <w:tcPr>
            <w:tcW w:w="1330" w:type="dxa"/>
          </w:tcPr>
          <w:p>
            <w:pPr>
              <w:pStyle w:val="TableParagraph"/>
              <w:spacing w:line="23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37" w:lineRule="exact"/>
              <w:ind w:left="490" w:right="486"/>
              <w:rPr>
                <w:rFonts w:ascii="Times New Roman"/>
                <w:sz w:val="21"/>
              </w:rPr>
            </w:pPr>
            <w:r>
              <w:rPr>
                <w:rFonts w:ascii="Times New Roman"/>
                <w:sz w:val="21"/>
              </w:rPr>
              <w:t>SS</w:t>
            </w:r>
          </w:p>
        </w:tc>
        <w:tc>
          <w:tcPr>
            <w:tcW w:w="1332" w:type="dxa"/>
          </w:tcPr>
          <w:p>
            <w:pPr>
              <w:pStyle w:val="TableParagraph"/>
              <w:spacing w:line="237" w:lineRule="exact"/>
              <w:ind w:left="218" w:right="216"/>
              <w:rPr>
                <w:rFonts w:ascii="Times New Roman"/>
                <w:sz w:val="21"/>
              </w:rPr>
            </w:pPr>
            <w:r>
              <w:rPr>
                <w:rFonts w:ascii="Times New Roman"/>
                <w:sz w:val="21"/>
              </w:rPr>
              <w:t>19</w:t>
            </w:r>
          </w:p>
        </w:tc>
        <w:tc>
          <w:tcPr>
            <w:tcW w:w="1330" w:type="dxa"/>
          </w:tcPr>
          <w:p>
            <w:pPr>
              <w:pStyle w:val="TableParagraph"/>
              <w:spacing w:line="237" w:lineRule="exact"/>
              <w:ind w:left="216" w:right="216"/>
              <w:rPr>
                <w:rFonts w:ascii="Times New Roman"/>
                <w:sz w:val="21"/>
              </w:rPr>
            </w:pPr>
            <w:r>
              <w:rPr>
                <w:rFonts w:ascii="Times New Roman"/>
                <w:sz w:val="21"/>
              </w:rPr>
              <w:t>20</w:t>
            </w:r>
          </w:p>
        </w:tc>
        <w:tc>
          <w:tcPr>
            <w:tcW w:w="1330" w:type="dxa"/>
          </w:tcPr>
          <w:p>
            <w:pPr>
              <w:pStyle w:val="TableParagraph"/>
              <w:spacing w:line="237" w:lineRule="exact"/>
              <w:ind w:left="216" w:right="216"/>
              <w:rPr>
                <w:rFonts w:ascii="Times New Roman"/>
                <w:sz w:val="21"/>
              </w:rPr>
            </w:pPr>
            <w:r>
              <w:rPr>
                <w:rFonts w:ascii="Times New Roman"/>
                <w:sz w:val="21"/>
              </w:rPr>
              <w:t>22</w:t>
            </w:r>
          </w:p>
        </w:tc>
        <w:tc>
          <w:tcPr>
            <w:tcW w:w="1330" w:type="dxa"/>
          </w:tcPr>
          <w:p>
            <w:pPr>
              <w:pStyle w:val="TableParagraph"/>
              <w:spacing w:line="237" w:lineRule="exact"/>
              <w:ind w:left="1"/>
              <w:rPr>
                <w:rFonts w:ascii="Times New Roman"/>
                <w:sz w:val="21"/>
              </w:rPr>
            </w:pPr>
            <w:r>
              <w:rPr>
                <w:rFonts w:ascii="Times New Roman"/>
                <w:w w:val="100"/>
                <w:sz w:val="21"/>
              </w:rPr>
              <w:t>/</w:t>
            </w:r>
          </w:p>
        </w:tc>
        <w:tc>
          <w:tcPr>
            <w:tcW w:w="283" w:type="dxa"/>
            <w:vMerge/>
          </w:tcPr>
          <w:p>
            <w:pPr/>
          </w:p>
        </w:tc>
      </w:tr>
      <w:tr>
        <w:trPr>
          <w:trHeight w:val="274" w:hRule="exact"/>
        </w:trPr>
        <w:tc>
          <w:tcPr>
            <w:tcW w:w="281" w:type="dxa"/>
            <w:vMerge/>
          </w:tcPr>
          <w:p>
            <w:pPr/>
          </w:p>
        </w:tc>
        <w:tc>
          <w:tcPr>
            <w:tcW w:w="886" w:type="dxa"/>
            <w:vMerge/>
            <w:tcBorders>
              <w:bottom w:val="double" w:sz="4" w:space="0" w:color="000000"/>
            </w:tcBorders>
          </w:tcPr>
          <w:p>
            <w:pPr/>
          </w:p>
        </w:tc>
        <w:tc>
          <w:tcPr>
            <w:tcW w:w="1661" w:type="dxa"/>
            <w:tcBorders>
              <w:bottom w:val="double" w:sz="4" w:space="0" w:color="000000"/>
            </w:tcBorders>
          </w:tcPr>
          <w:p>
            <w:pPr>
              <w:pStyle w:val="TableParagraph"/>
              <w:spacing w:line="250"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Borders>
              <w:bottom w:val="double" w:sz="4" w:space="0" w:color="000000"/>
            </w:tcBorders>
          </w:tcPr>
          <w:p>
            <w:pPr>
              <w:pStyle w:val="TableParagraph"/>
              <w:spacing w:line="235" w:lineRule="exact"/>
              <w:ind w:left="218" w:right="216"/>
              <w:rPr>
                <w:rFonts w:ascii="Times New Roman"/>
                <w:sz w:val="21"/>
              </w:rPr>
            </w:pPr>
            <w:r>
              <w:rPr>
                <w:rFonts w:ascii="Times New Roman"/>
                <w:sz w:val="21"/>
              </w:rPr>
              <w:t>0.038</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0.070</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0.047</w:t>
            </w:r>
          </w:p>
        </w:tc>
        <w:tc>
          <w:tcPr>
            <w:tcW w:w="1330" w:type="dxa"/>
            <w:tcBorders>
              <w:bottom w:val="double" w:sz="4" w:space="0" w:color="000000"/>
            </w:tcBorders>
          </w:tcPr>
          <w:p>
            <w:pPr>
              <w:pStyle w:val="TableParagraph"/>
              <w:spacing w:line="235" w:lineRule="exact"/>
              <w:ind w:left="375" w:right="375"/>
              <w:rPr>
                <w:rFonts w:ascii="Times New Roman"/>
                <w:sz w:val="21"/>
              </w:rPr>
            </w:pPr>
            <w:r>
              <w:rPr>
                <w:rFonts w:ascii="Times New Roman"/>
                <w:sz w:val="21"/>
              </w:rPr>
              <w:t>1.0</w:t>
            </w:r>
          </w:p>
        </w:tc>
        <w:tc>
          <w:tcPr>
            <w:tcW w:w="283" w:type="dxa"/>
            <w:vMerge/>
          </w:tcPr>
          <w:p>
            <w:pPr/>
          </w:p>
        </w:tc>
      </w:tr>
    </w:tbl>
    <w:p>
      <w:pPr>
        <w:rPr>
          <w:sz w:val="2"/>
          <w:szCs w:val="2"/>
        </w:rPr>
      </w:pPr>
      <w:r>
        <w:rPr/>
        <w:pict>
          <v:line style="position:absolute;mso-position-horizontal-relative:page;mso-position-vertical-relative:page;z-index:-198784" from="247.981384pt,381.844879pt" to="300.581448pt,381.844879pt" stroked="true" strokeweight=".397213pt" strokecolor="#000000">
            <v:stroke dashstyle="solid"/>
            <w10:wrap type="none"/>
          </v:line>
        </w:pict>
      </w:r>
      <w:r>
        <w:rPr/>
        <w:pict>
          <v:line style="position:absolute;mso-position-horizontal-relative:page;mso-position-vertical-relative:page;z-index:-198760" from="249.136475pt,422.820557pt" to="302.448741pt,422.820557pt" stroked="true" strokeweight=".401319pt" strokecolor="#000000">
            <v:stroke dashstyle="solid"/>
            <w10:wrap type="none"/>
          </v:line>
        </w:pict>
      </w:r>
      <w:r>
        <w:rPr/>
        <w:pict>
          <v:line style="position:absolute;mso-position-horizontal-relative:page;mso-position-vertical-relative:page;z-index:-198736" from="239.891632pt,253.623108pt" to="255.177246pt,253.623108pt" stroked="true" strokeweight=".518315pt" strokecolor="#000000">
            <v:stroke dashstyle="solid"/>
            <w10:wrap type="none"/>
          </v:line>
        </w:pict>
      </w:r>
    </w:p>
    <w:p>
      <w:pPr>
        <w:spacing w:after="0"/>
        <w:rPr>
          <w:sz w:val="2"/>
          <w:szCs w:val="2"/>
        </w:rPr>
        <w:sectPr>
          <w:pgSz w:w="11910" w:h="16850"/>
          <w:pgMar w:header="0" w:footer="1141" w:top="1440" w:bottom="134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574" w:hRule="exact"/>
        </w:trPr>
        <w:tc>
          <w:tcPr>
            <w:tcW w:w="281" w:type="dxa"/>
            <w:vMerge w:val="restart"/>
          </w:tcPr>
          <w:p>
            <w:pPr/>
          </w:p>
        </w:tc>
        <w:tc>
          <w:tcPr>
            <w:tcW w:w="886" w:type="dxa"/>
            <w:vMerge w:val="restart"/>
            <w:tcBorders>
              <w:top w:val="single" w:sz="12" w:space="0" w:color="000000"/>
            </w:tcBorders>
          </w:tcPr>
          <w:p>
            <w:pPr/>
          </w:p>
        </w:tc>
        <w:tc>
          <w:tcPr>
            <w:tcW w:w="1661" w:type="dxa"/>
            <w:tcBorders>
              <w:top w:val="single" w:sz="12" w:space="0" w:color="000000"/>
            </w:tcBorders>
          </w:tcPr>
          <w:p>
            <w:pPr>
              <w:pStyle w:val="TableParagraph"/>
              <w:spacing w:line="24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Borders>
              <w:top w:val="single" w:sz="12" w:space="0" w:color="000000"/>
            </w:tcBorders>
          </w:tcPr>
          <w:p>
            <w:pPr>
              <w:pStyle w:val="TableParagraph"/>
              <w:spacing w:before="146"/>
              <w:ind w:left="218" w:right="216"/>
              <w:rPr>
                <w:rFonts w:ascii="Times New Roman"/>
                <w:sz w:val="21"/>
              </w:rPr>
            </w:pPr>
            <w:r>
              <w:rPr>
                <w:rFonts w:ascii="Times New Roman"/>
                <w:sz w:val="21"/>
              </w:rPr>
              <w:t>2100</w:t>
            </w:r>
          </w:p>
        </w:tc>
        <w:tc>
          <w:tcPr>
            <w:tcW w:w="1330" w:type="dxa"/>
            <w:tcBorders>
              <w:top w:val="single" w:sz="12" w:space="0" w:color="000000"/>
            </w:tcBorders>
          </w:tcPr>
          <w:p>
            <w:pPr>
              <w:pStyle w:val="TableParagraph"/>
              <w:spacing w:before="146"/>
              <w:ind w:right="444"/>
              <w:jc w:val="right"/>
              <w:rPr>
                <w:rFonts w:ascii="Times New Roman"/>
                <w:sz w:val="21"/>
              </w:rPr>
            </w:pPr>
            <w:r>
              <w:rPr>
                <w:rFonts w:ascii="Times New Roman"/>
                <w:sz w:val="21"/>
              </w:rPr>
              <w:t>2700</w:t>
            </w:r>
          </w:p>
        </w:tc>
        <w:tc>
          <w:tcPr>
            <w:tcW w:w="1330" w:type="dxa"/>
            <w:tcBorders>
              <w:top w:val="single" w:sz="12" w:space="0" w:color="000000"/>
            </w:tcBorders>
          </w:tcPr>
          <w:p>
            <w:pPr>
              <w:pStyle w:val="TableParagraph"/>
              <w:spacing w:before="146"/>
              <w:ind w:left="216" w:right="216"/>
              <w:rPr>
                <w:rFonts w:ascii="Times New Roman"/>
                <w:sz w:val="21"/>
              </w:rPr>
            </w:pPr>
            <w:r>
              <w:rPr>
                <w:rFonts w:ascii="Times New Roman"/>
                <w:sz w:val="21"/>
              </w:rPr>
              <w:t>2300</w:t>
            </w:r>
          </w:p>
        </w:tc>
        <w:tc>
          <w:tcPr>
            <w:tcW w:w="1330" w:type="dxa"/>
            <w:tcBorders>
              <w:top w:val="single" w:sz="12" w:space="0" w:color="000000"/>
            </w:tcBorders>
          </w:tcPr>
          <w:p>
            <w:pPr>
              <w:pStyle w:val="TableParagraph"/>
              <w:spacing w:before="146"/>
              <w:ind w:left="375" w:right="375"/>
              <w:rPr>
                <w:rFonts w:ascii="Times New Roman"/>
                <w:sz w:val="21"/>
              </w:rPr>
            </w:pPr>
            <w:r>
              <w:rPr>
                <w:rFonts w:ascii="Times New Roman"/>
                <w:sz w:val="21"/>
              </w:rPr>
              <w:t>10000</w:t>
            </w:r>
          </w:p>
        </w:tc>
        <w:tc>
          <w:tcPr>
            <w:tcW w:w="283" w:type="dxa"/>
            <w:vMerge w:val="restart"/>
          </w:tcPr>
          <w:p>
            <w:pPr/>
          </w:p>
        </w:tc>
      </w:tr>
      <w:tr>
        <w:trPr>
          <w:trHeight w:val="288" w:hRule="exact"/>
        </w:trPr>
        <w:tc>
          <w:tcPr>
            <w:tcW w:w="281" w:type="dxa"/>
            <w:vMerge/>
          </w:tcPr>
          <w:p>
            <w:pPr/>
          </w:p>
        </w:tc>
        <w:tc>
          <w:tcPr>
            <w:tcW w:w="886" w:type="dxa"/>
            <w:vMerge/>
          </w:tcPr>
          <w:p>
            <w:pPr/>
          </w:p>
        </w:tc>
        <w:tc>
          <w:tcPr>
            <w:tcW w:w="1661" w:type="dxa"/>
          </w:tcPr>
          <w:p>
            <w:pPr>
              <w:pStyle w:val="TableParagraph"/>
              <w:spacing w:line="235" w:lineRule="exact"/>
              <w:ind w:left="490" w:right="486"/>
              <w:rPr>
                <w:sz w:val="21"/>
              </w:rPr>
            </w:pPr>
            <w:r>
              <w:rPr>
                <w:sz w:val="21"/>
              </w:rPr>
              <w:t>石油类</w:t>
            </w:r>
          </w:p>
        </w:tc>
        <w:tc>
          <w:tcPr>
            <w:tcW w:w="1332" w:type="dxa"/>
          </w:tcPr>
          <w:p>
            <w:pPr>
              <w:pStyle w:val="TableParagraph"/>
              <w:spacing w:line="235" w:lineRule="exact"/>
              <w:ind w:left="218" w:right="216"/>
              <w:rPr>
                <w:sz w:val="21"/>
              </w:rPr>
            </w:pPr>
            <w:r>
              <w:rPr>
                <w:sz w:val="21"/>
              </w:rPr>
              <w:t>未检出</w:t>
            </w:r>
          </w:p>
        </w:tc>
        <w:tc>
          <w:tcPr>
            <w:tcW w:w="1330" w:type="dxa"/>
          </w:tcPr>
          <w:p>
            <w:pPr>
              <w:pStyle w:val="TableParagraph"/>
              <w:spacing w:line="235" w:lineRule="exact"/>
              <w:ind w:right="339"/>
              <w:jc w:val="right"/>
              <w:rPr>
                <w:sz w:val="21"/>
              </w:rPr>
            </w:pPr>
            <w:r>
              <w:rPr>
                <w:sz w:val="21"/>
              </w:rPr>
              <w:t>未检出</w:t>
            </w:r>
          </w:p>
        </w:tc>
        <w:tc>
          <w:tcPr>
            <w:tcW w:w="1330" w:type="dxa"/>
          </w:tcPr>
          <w:p>
            <w:pPr>
              <w:pStyle w:val="TableParagraph"/>
              <w:spacing w:line="235" w:lineRule="exact"/>
              <w:ind w:left="216" w:right="216"/>
              <w:rPr>
                <w:sz w:val="21"/>
              </w:rPr>
            </w:pPr>
            <w:r>
              <w:rPr>
                <w:sz w:val="21"/>
              </w:rPr>
              <w:t>未检出</w:t>
            </w:r>
          </w:p>
        </w:tc>
        <w:tc>
          <w:tcPr>
            <w:tcW w:w="1330" w:type="dxa"/>
          </w:tcPr>
          <w:p>
            <w:pPr>
              <w:pStyle w:val="TableParagraph"/>
              <w:spacing w:before="2"/>
              <w:ind w:left="375" w:right="375"/>
              <w:rPr>
                <w:rFonts w:ascii="Times New Roman"/>
                <w:sz w:val="21"/>
              </w:rPr>
            </w:pPr>
            <w:r>
              <w:rPr>
                <w:rFonts w:ascii="Times New Roman"/>
                <w:sz w:val="21"/>
              </w:rPr>
              <w:t>0.05</w:t>
            </w:r>
          </w:p>
        </w:tc>
        <w:tc>
          <w:tcPr>
            <w:tcW w:w="283" w:type="dxa"/>
            <w:vMerge/>
          </w:tcPr>
          <w:p>
            <w:pPr/>
          </w:p>
        </w:tc>
      </w:tr>
      <w:tr>
        <w:trPr>
          <w:trHeight w:val="257" w:hRule="exact"/>
        </w:trPr>
        <w:tc>
          <w:tcPr>
            <w:tcW w:w="281" w:type="dxa"/>
            <w:vMerge/>
          </w:tcPr>
          <w:p>
            <w:pPr/>
          </w:p>
        </w:tc>
        <w:tc>
          <w:tcPr>
            <w:tcW w:w="886" w:type="dxa"/>
            <w:vMerge w:val="restart"/>
          </w:tcPr>
          <w:p>
            <w:pPr>
              <w:pStyle w:val="TableParagraph"/>
              <w:jc w:val="left"/>
              <w:rPr>
                <w:sz w:val="22"/>
              </w:rPr>
            </w:pPr>
          </w:p>
          <w:p>
            <w:pPr>
              <w:pStyle w:val="TableParagraph"/>
              <w:jc w:val="left"/>
              <w:rPr>
                <w:sz w:val="22"/>
              </w:rPr>
            </w:pPr>
          </w:p>
          <w:p>
            <w:pPr>
              <w:pStyle w:val="TableParagraph"/>
              <w:spacing w:before="7"/>
              <w:jc w:val="left"/>
              <w:rPr>
                <w:sz w:val="26"/>
              </w:rPr>
            </w:pPr>
          </w:p>
          <w:p>
            <w:pPr>
              <w:pStyle w:val="TableParagraph"/>
              <w:spacing w:before="1"/>
              <w:ind w:left="283"/>
              <w:jc w:val="left"/>
              <w:rPr>
                <w:rFonts w:ascii="Times New Roman"/>
                <w:sz w:val="21"/>
              </w:rPr>
            </w:pPr>
            <w:r>
              <w:rPr>
                <w:rFonts w:ascii="Times New Roman"/>
                <w:sz w:val="21"/>
              </w:rPr>
              <w:t>W2</w:t>
            </w:r>
          </w:p>
        </w:tc>
        <w:tc>
          <w:tcPr>
            <w:tcW w:w="1661" w:type="dxa"/>
          </w:tcPr>
          <w:p>
            <w:pPr>
              <w:pStyle w:val="TableParagraph"/>
              <w:spacing w:line="227" w:lineRule="exact"/>
              <w:ind w:left="489" w:right="486"/>
              <w:rPr>
                <w:rFonts w:ascii="Times New Roman"/>
                <w:sz w:val="21"/>
              </w:rPr>
            </w:pPr>
            <w:r>
              <w:rPr>
                <w:rFonts w:ascii="Times New Roman"/>
                <w:sz w:val="21"/>
              </w:rPr>
              <w:t>pH</w:t>
            </w:r>
          </w:p>
        </w:tc>
        <w:tc>
          <w:tcPr>
            <w:tcW w:w="1332" w:type="dxa"/>
          </w:tcPr>
          <w:p>
            <w:pPr>
              <w:pStyle w:val="TableParagraph"/>
              <w:spacing w:line="227" w:lineRule="exact"/>
              <w:ind w:left="218" w:right="216"/>
              <w:rPr>
                <w:rFonts w:ascii="Times New Roman"/>
                <w:sz w:val="21"/>
              </w:rPr>
            </w:pPr>
            <w:r>
              <w:rPr>
                <w:rFonts w:ascii="Times New Roman"/>
                <w:sz w:val="21"/>
              </w:rPr>
              <w:t>7.58</w:t>
            </w:r>
          </w:p>
        </w:tc>
        <w:tc>
          <w:tcPr>
            <w:tcW w:w="1330" w:type="dxa"/>
          </w:tcPr>
          <w:p>
            <w:pPr>
              <w:pStyle w:val="TableParagraph"/>
              <w:spacing w:line="227" w:lineRule="exact"/>
              <w:ind w:left="216" w:right="216"/>
              <w:rPr>
                <w:rFonts w:ascii="Times New Roman"/>
                <w:sz w:val="21"/>
              </w:rPr>
            </w:pPr>
            <w:r>
              <w:rPr>
                <w:rFonts w:ascii="Times New Roman"/>
                <w:sz w:val="21"/>
              </w:rPr>
              <w:t>7.68</w:t>
            </w:r>
          </w:p>
        </w:tc>
        <w:tc>
          <w:tcPr>
            <w:tcW w:w="1330" w:type="dxa"/>
          </w:tcPr>
          <w:p>
            <w:pPr>
              <w:pStyle w:val="TableParagraph"/>
              <w:spacing w:line="227" w:lineRule="exact"/>
              <w:ind w:left="216" w:right="216"/>
              <w:rPr>
                <w:rFonts w:ascii="Times New Roman"/>
                <w:sz w:val="21"/>
              </w:rPr>
            </w:pPr>
            <w:r>
              <w:rPr>
                <w:rFonts w:ascii="Times New Roman"/>
                <w:sz w:val="21"/>
              </w:rPr>
              <w:t>7.48</w:t>
            </w:r>
          </w:p>
        </w:tc>
        <w:tc>
          <w:tcPr>
            <w:tcW w:w="1330" w:type="dxa"/>
          </w:tcPr>
          <w:p>
            <w:pPr>
              <w:pStyle w:val="TableParagraph"/>
              <w:spacing w:line="227" w:lineRule="exact"/>
              <w:ind w:left="373" w:right="375"/>
              <w:rPr>
                <w:rFonts w:ascii="Times New Roman"/>
                <w:sz w:val="21"/>
              </w:rPr>
            </w:pPr>
            <w:r>
              <w:rPr>
                <w:rFonts w:ascii="Times New Roman"/>
                <w:sz w:val="21"/>
              </w:rPr>
              <w:t>6-9</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88" w:right="486"/>
              <w:rPr>
                <w:rFonts w:ascii="Times New Roman"/>
                <w:sz w:val="21"/>
              </w:rPr>
            </w:pPr>
            <w:r>
              <w:rPr>
                <w:rFonts w:ascii="Times New Roman"/>
                <w:sz w:val="21"/>
              </w:rPr>
              <w:t>COD</w:t>
            </w:r>
          </w:p>
        </w:tc>
        <w:tc>
          <w:tcPr>
            <w:tcW w:w="1332" w:type="dxa"/>
          </w:tcPr>
          <w:p>
            <w:pPr>
              <w:pStyle w:val="TableParagraph"/>
              <w:spacing w:line="227" w:lineRule="exact"/>
              <w:ind w:left="216" w:right="216"/>
              <w:rPr>
                <w:rFonts w:ascii="Times New Roman"/>
                <w:sz w:val="21"/>
              </w:rPr>
            </w:pPr>
            <w:r>
              <w:rPr>
                <w:rFonts w:ascii="Times New Roman"/>
                <w:sz w:val="21"/>
              </w:rPr>
              <w:t>11</w:t>
            </w:r>
          </w:p>
        </w:tc>
        <w:tc>
          <w:tcPr>
            <w:tcW w:w="1330" w:type="dxa"/>
          </w:tcPr>
          <w:p>
            <w:pPr>
              <w:pStyle w:val="TableParagraph"/>
              <w:spacing w:line="227" w:lineRule="exact"/>
              <w:ind w:left="216" w:right="216"/>
              <w:rPr>
                <w:rFonts w:ascii="Times New Roman"/>
                <w:sz w:val="21"/>
              </w:rPr>
            </w:pPr>
            <w:r>
              <w:rPr>
                <w:rFonts w:ascii="Times New Roman"/>
                <w:sz w:val="21"/>
              </w:rPr>
              <w:t>12</w:t>
            </w:r>
          </w:p>
        </w:tc>
        <w:tc>
          <w:tcPr>
            <w:tcW w:w="1330" w:type="dxa"/>
          </w:tcPr>
          <w:p>
            <w:pPr>
              <w:pStyle w:val="TableParagraph"/>
              <w:spacing w:line="227" w:lineRule="exact"/>
              <w:ind w:left="216" w:right="216"/>
              <w:rPr>
                <w:rFonts w:ascii="Times New Roman"/>
                <w:sz w:val="21"/>
              </w:rPr>
            </w:pPr>
            <w:r>
              <w:rPr>
                <w:rFonts w:ascii="Times New Roman"/>
                <w:sz w:val="21"/>
              </w:rPr>
              <w:t>10</w:t>
            </w:r>
          </w:p>
        </w:tc>
        <w:tc>
          <w:tcPr>
            <w:tcW w:w="1330" w:type="dxa"/>
          </w:tcPr>
          <w:p>
            <w:pPr>
              <w:pStyle w:val="TableParagraph"/>
              <w:spacing w:line="227"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27" w:lineRule="exact"/>
              <w:ind w:left="218" w:right="216"/>
              <w:rPr>
                <w:rFonts w:ascii="Times New Roman"/>
                <w:sz w:val="21"/>
              </w:rPr>
            </w:pPr>
            <w:r>
              <w:rPr>
                <w:rFonts w:ascii="Times New Roman"/>
                <w:sz w:val="21"/>
              </w:rPr>
              <w:t>1.6</w:t>
            </w:r>
          </w:p>
        </w:tc>
        <w:tc>
          <w:tcPr>
            <w:tcW w:w="1330" w:type="dxa"/>
          </w:tcPr>
          <w:p>
            <w:pPr>
              <w:pStyle w:val="TableParagraph"/>
              <w:spacing w:line="227" w:lineRule="exact"/>
              <w:ind w:left="216" w:right="216"/>
              <w:rPr>
                <w:rFonts w:ascii="Times New Roman"/>
                <w:sz w:val="21"/>
              </w:rPr>
            </w:pPr>
            <w:r>
              <w:rPr>
                <w:rFonts w:ascii="Times New Roman"/>
                <w:sz w:val="21"/>
              </w:rPr>
              <w:t>2.0</w:t>
            </w:r>
          </w:p>
        </w:tc>
        <w:tc>
          <w:tcPr>
            <w:tcW w:w="1330" w:type="dxa"/>
          </w:tcPr>
          <w:p>
            <w:pPr>
              <w:pStyle w:val="TableParagraph"/>
              <w:spacing w:line="227" w:lineRule="exact"/>
              <w:ind w:left="216" w:right="216"/>
              <w:rPr>
                <w:rFonts w:ascii="Times New Roman"/>
                <w:sz w:val="21"/>
              </w:rPr>
            </w:pPr>
            <w:r>
              <w:rPr>
                <w:rFonts w:ascii="Times New Roman"/>
                <w:sz w:val="21"/>
              </w:rPr>
              <w:t>1.6</w:t>
            </w:r>
          </w:p>
        </w:tc>
        <w:tc>
          <w:tcPr>
            <w:tcW w:w="1330" w:type="dxa"/>
          </w:tcPr>
          <w:p>
            <w:pPr>
              <w:pStyle w:val="TableParagraph"/>
              <w:spacing w:line="22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90" w:right="486"/>
              <w:rPr>
                <w:rFonts w:ascii="Times New Roman"/>
                <w:sz w:val="21"/>
              </w:rPr>
            </w:pPr>
            <w:r>
              <w:rPr>
                <w:rFonts w:ascii="Times New Roman"/>
                <w:sz w:val="21"/>
              </w:rPr>
              <w:t>SS</w:t>
            </w:r>
          </w:p>
        </w:tc>
        <w:tc>
          <w:tcPr>
            <w:tcW w:w="1332" w:type="dxa"/>
          </w:tcPr>
          <w:p>
            <w:pPr>
              <w:pStyle w:val="TableParagraph"/>
              <w:spacing w:line="227" w:lineRule="exact"/>
              <w:ind w:left="218" w:right="216"/>
              <w:rPr>
                <w:rFonts w:ascii="Times New Roman"/>
                <w:sz w:val="21"/>
              </w:rPr>
            </w:pPr>
            <w:r>
              <w:rPr>
                <w:rFonts w:ascii="Times New Roman"/>
                <w:sz w:val="21"/>
              </w:rPr>
              <w:t>21</w:t>
            </w:r>
          </w:p>
        </w:tc>
        <w:tc>
          <w:tcPr>
            <w:tcW w:w="1330" w:type="dxa"/>
          </w:tcPr>
          <w:p>
            <w:pPr>
              <w:pStyle w:val="TableParagraph"/>
              <w:spacing w:line="227" w:lineRule="exact"/>
              <w:ind w:left="216" w:right="216"/>
              <w:rPr>
                <w:rFonts w:ascii="Times New Roman"/>
                <w:sz w:val="21"/>
              </w:rPr>
            </w:pPr>
            <w:r>
              <w:rPr>
                <w:rFonts w:ascii="Times New Roman"/>
                <w:sz w:val="21"/>
              </w:rPr>
              <w:t>18</w:t>
            </w:r>
          </w:p>
        </w:tc>
        <w:tc>
          <w:tcPr>
            <w:tcW w:w="1330" w:type="dxa"/>
          </w:tcPr>
          <w:p>
            <w:pPr>
              <w:pStyle w:val="TableParagraph"/>
              <w:spacing w:line="227" w:lineRule="exact"/>
              <w:ind w:left="216" w:right="216"/>
              <w:rPr>
                <w:rFonts w:ascii="Times New Roman"/>
                <w:sz w:val="21"/>
              </w:rPr>
            </w:pPr>
            <w:r>
              <w:rPr>
                <w:rFonts w:ascii="Times New Roman"/>
                <w:sz w:val="21"/>
              </w:rPr>
              <w:t>23</w:t>
            </w:r>
          </w:p>
        </w:tc>
        <w:tc>
          <w:tcPr>
            <w:tcW w:w="1330" w:type="dxa"/>
          </w:tcPr>
          <w:p>
            <w:pPr>
              <w:pStyle w:val="TableParagraph"/>
              <w:spacing w:line="227" w:lineRule="exact"/>
              <w:ind w:left="1"/>
              <w:rPr>
                <w:rFonts w:ascii="Times New Roman"/>
                <w:sz w:val="21"/>
              </w:rPr>
            </w:pPr>
            <w:r>
              <w:rPr>
                <w:rFonts w:ascii="Times New Roman"/>
                <w:w w:val="100"/>
                <w:sz w:val="21"/>
              </w:rPr>
              <w:t>/</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27" w:lineRule="exact"/>
              <w:ind w:left="218" w:right="216"/>
              <w:rPr>
                <w:rFonts w:ascii="Times New Roman"/>
                <w:sz w:val="21"/>
              </w:rPr>
            </w:pPr>
            <w:r>
              <w:rPr>
                <w:rFonts w:ascii="Times New Roman"/>
                <w:sz w:val="21"/>
              </w:rPr>
              <w:t>0.3</w:t>
            </w:r>
          </w:p>
        </w:tc>
        <w:tc>
          <w:tcPr>
            <w:tcW w:w="1330" w:type="dxa"/>
          </w:tcPr>
          <w:p>
            <w:pPr>
              <w:pStyle w:val="TableParagraph"/>
              <w:spacing w:line="227" w:lineRule="exact"/>
              <w:ind w:right="419"/>
              <w:jc w:val="right"/>
              <w:rPr>
                <w:rFonts w:ascii="Times New Roman"/>
                <w:sz w:val="21"/>
              </w:rPr>
            </w:pPr>
            <w:r>
              <w:rPr>
                <w:rFonts w:ascii="Times New Roman"/>
                <w:sz w:val="21"/>
              </w:rPr>
              <w:t>0.273</w:t>
            </w:r>
          </w:p>
        </w:tc>
        <w:tc>
          <w:tcPr>
            <w:tcW w:w="1330" w:type="dxa"/>
          </w:tcPr>
          <w:p>
            <w:pPr>
              <w:pStyle w:val="TableParagraph"/>
              <w:spacing w:line="227" w:lineRule="exact"/>
              <w:ind w:left="216" w:right="216"/>
              <w:rPr>
                <w:rFonts w:ascii="Times New Roman"/>
                <w:sz w:val="21"/>
              </w:rPr>
            </w:pPr>
            <w:r>
              <w:rPr>
                <w:rFonts w:ascii="Times New Roman"/>
                <w:sz w:val="21"/>
              </w:rPr>
              <w:t>0.261</w:t>
            </w:r>
          </w:p>
        </w:tc>
        <w:tc>
          <w:tcPr>
            <w:tcW w:w="1330" w:type="dxa"/>
          </w:tcPr>
          <w:p>
            <w:pPr>
              <w:pStyle w:val="TableParagraph"/>
              <w:spacing w:line="227" w:lineRule="exact"/>
              <w:ind w:left="375" w:right="375"/>
              <w:rPr>
                <w:rFonts w:ascii="Times New Roman"/>
                <w:sz w:val="21"/>
              </w:rPr>
            </w:pPr>
            <w:r>
              <w:rPr>
                <w:rFonts w:ascii="Times New Roman"/>
                <w:sz w:val="21"/>
              </w:rPr>
              <w:t>1.0</w:t>
            </w:r>
          </w:p>
        </w:tc>
        <w:tc>
          <w:tcPr>
            <w:tcW w:w="283" w:type="dxa"/>
            <w:vMerge/>
          </w:tcPr>
          <w:p>
            <w:pPr/>
          </w:p>
        </w:tc>
      </w:tr>
      <w:tr>
        <w:trPr>
          <w:trHeight w:val="559" w:hRule="exact"/>
        </w:trPr>
        <w:tc>
          <w:tcPr>
            <w:tcW w:w="281" w:type="dxa"/>
            <w:vMerge/>
          </w:tcPr>
          <w:p>
            <w:pPr/>
          </w:p>
        </w:tc>
        <w:tc>
          <w:tcPr>
            <w:tcW w:w="886" w:type="dxa"/>
            <w:vMerge/>
          </w:tcPr>
          <w:p>
            <w:pPr/>
          </w:p>
        </w:tc>
        <w:tc>
          <w:tcPr>
            <w:tcW w:w="1661" w:type="dxa"/>
          </w:tcPr>
          <w:p>
            <w:pPr>
              <w:pStyle w:val="TableParagraph"/>
              <w:spacing w:line="23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6"/>
              <w:ind w:left="218" w:right="216"/>
              <w:rPr>
                <w:rFonts w:ascii="Times New Roman"/>
                <w:sz w:val="21"/>
              </w:rPr>
            </w:pPr>
            <w:r>
              <w:rPr>
                <w:rFonts w:ascii="Times New Roman"/>
                <w:sz w:val="21"/>
              </w:rPr>
              <w:t>2600</w:t>
            </w:r>
          </w:p>
        </w:tc>
        <w:tc>
          <w:tcPr>
            <w:tcW w:w="1330" w:type="dxa"/>
          </w:tcPr>
          <w:p>
            <w:pPr>
              <w:pStyle w:val="TableParagraph"/>
              <w:spacing w:before="136"/>
              <w:ind w:right="444"/>
              <w:jc w:val="right"/>
              <w:rPr>
                <w:rFonts w:ascii="Times New Roman"/>
                <w:sz w:val="21"/>
              </w:rPr>
            </w:pPr>
            <w:r>
              <w:rPr>
                <w:rFonts w:ascii="Times New Roman"/>
                <w:sz w:val="21"/>
              </w:rPr>
              <w:t>3400</w:t>
            </w:r>
          </w:p>
        </w:tc>
        <w:tc>
          <w:tcPr>
            <w:tcW w:w="1330" w:type="dxa"/>
          </w:tcPr>
          <w:p>
            <w:pPr>
              <w:pStyle w:val="TableParagraph"/>
              <w:spacing w:before="136"/>
              <w:ind w:left="216" w:right="216"/>
              <w:rPr>
                <w:rFonts w:ascii="Times New Roman"/>
                <w:sz w:val="21"/>
              </w:rPr>
            </w:pPr>
            <w:r>
              <w:rPr>
                <w:rFonts w:ascii="Times New Roman"/>
                <w:sz w:val="21"/>
              </w:rPr>
              <w:t>3300</w:t>
            </w:r>
          </w:p>
        </w:tc>
        <w:tc>
          <w:tcPr>
            <w:tcW w:w="1330" w:type="dxa"/>
          </w:tcPr>
          <w:p>
            <w:pPr>
              <w:pStyle w:val="TableParagraph"/>
              <w:spacing w:before="136"/>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Borders>
              <w:bottom w:val="nil"/>
            </w:tcBorders>
          </w:tcPr>
          <w:p>
            <w:pPr/>
          </w:p>
        </w:tc>
        <w:tc>
          <w:tcPr>
            <w:tcW w:w="886" w:type="dxa"/>
            <w:vMerge/>
          </w:tcPr>
          <w:p>
            <w:pPr/>
          </w:p>
        </w:tc>
        <w:tc>
          <w:tcPr>
            <w:tcW w:w="1661" w:type="dxa"/>
          </w:tcPr>
          <w:p>
            <w:pPr>
              <w:pStyle w:val="TableParagraph"/>
              <w:spacing w:line="233" w:lineRule="exact"/>
              <w:ind w:left="490" w:right="486"/>
              <w:rPr>
                <w:sz w:val="21"/>
              </w:rPr>
            </w:pPr>
            <w:r>
              <w:rPr>
                <w:sz w:val="21"/>
              </w:rPr>
              <w:t>石油类</w:t>
            </w:r>
          </w:p>
        </w:tc>
        <w:tc>
          <w:tcPr>
            <w:tcW w:w="1332" w:type="dxa"/>
          </w:tcPr>
          <w:p>
            <w:pPr>
              <w:pStyle w:val="TableParagraph"/>
              <w:spacing w:line="233" w:lineRule="exact"/>
              <w:ind w:left="218" w:right="216"/>
              <w:rPr>
                <w:sz w:val="21"/>
              </w:rPr>
            </w:pPr>
            <w:r>
              <w:rPr>
                <w:sz w:val="21"/>
              </w:rPr>
              <w:t>未检出</w:t>
            </w:r>
          </w:p>
        </w:tc>
        <w:tc>
          <w:tcPr>
            <w:tcW w:w="1330" w:type="dxa"/>
          </w:tcPr>
          <w:p>
            <w:pPr>
              <w:pStyle w:val="TableParagraph"/>
              <w:spacing w:line="233" w:lineRule="exact"/>
              <w:ind w:right="339"/>
              <w:jc w:val="right"/>
              <w:rPr>
                <w:sz w:val="21"/>
              </w:rPr>
            </w:pPr>
            <w:r>
              <w:rPr>
                <w:sz w:val="21"/>
              </w:rPr>
              <w:t>未检出</w:t>
            </w:r>
          </w:p>
        </w:tc>
        <w:tc>
          <w:tcPr>
            <w:tcW w:w="1330" w:type="dxa"/>
          </w:tcPr>
          <w:p>
            <w:pPr>
              <w:pStyle w:val="TableParagraph"/>
              <w:spacing w:line="233" w:lineRule="exact"/>
              <w:ind w:left="216" w:right="216"/>
              <w:rPr>
                <w:sz w:val="21"/>
              </w:rPr>
            </w:pPr>
            <w:r>
              <w:rPr>
                <w:sz w:val="21"/>
              </w:rPr>
              <w:t>未检出</w:t>
            </w:r>
          </w:p>
        </w:tc>
        <w:tc>
          <w:tcPr>
            <w:tcW w:w="1330" w:type="dxa"/>
          </w:tcPr>
          <w:p>
            <w:pPr>
              <w:pStyle w:val="TableParagraph"/>
              <w:ind w:left="375" w:right="375"/>
              <w:rPr>
                <w:rFonts w:ascii="Times New Roman"/>
                <w:sz w:val="21"/>
              </w:rPr>
            </w:pPr>
            <w:r>
              <w:rPr>
                <w:rFonts w:ascii="Times New Roman"/>
                <w:sz w:val="21"/>
              </w:rPr>
              <w:t>0.05</w:t>
            </w:r>
          </w:p>
        </w:tc>
        <w:tc>
          <w:tcPr>
            <w:tcW w:w="283" w:type="dxa"/>
            <w:vMerge/>
            <w:tcBorders>
              <w:bottom w:val="nil"/>
            </w:tcBorders>
          </w:tcPr>
          <w:p>
            <w:pPr/>
          </w:p>
        </w:tc>
      </w:tr>
      <w:tr>
        <w:trPr>
          <w:trHeight w:val="10956" w:hRule="exact"/>
        </w:trPr>
        <w:tc>
          <w:tcPr>
            <w:tcW w:w="8433" w:type="dxa"/>
            <w:gridSpan w:val="8"/>
            <w:tcBorders>
              <w:top w:val="nil"/>
            </w:tcBorders>
          </w:tcPr>
          <w:p>
            <w:pPr>
              <w:pStyle w:val="TableParagraph"/>
              <w:spacing w:line="291" w:lineRule="exact"/>
              <w:ind w:left="580"/>
              <w:jc w:val="left"/>
              <w:rPr>
                <w:b/>
                <w:sz w:val="24"/>
              </w:rPr>
            </w:pPr>
            <w:r>
              <w:rPr>
                <w:rFonts w:ascii="Times New Roman" w:eastAsia="Times New Roman"/>
                <w:b/>
                <w:w w:val="95"/>
                <w:sz w:val="24"/>
              </w:rPr>
              <w:t>6</w:t>
            </w:r>
            <w:r>
              <w:rPr>
                <w:b/>
                <w:w w:val="95"/>
                <w:sz w:val="24"/>
              </w:rPr>
              <w:t>、地表水现状评价结果</w:t>
            </w:r>
          </w:p>
          <w:p>
            <w:pPr>
              <w:pStyle w:val="TableParagraph"/>
              <w:tabs>
                <w:tab w:pos="1572" w:val="left" w:leader="none"/>
              </w:tabs>
              <w:spacing w:before="134"/>
              <w:ind w:left="471"/>
              <w:rPr>
                <w:b/>
                <w:sz w:val="24"/>
              </w:rPr>
            </w:pPr>
            <w:r>
              <w:rPr>
                <w:b/>
                <w:sz w:val="24"/>
              </w:rPr>
              <w:t>表</w:t>
            </w:r>
            <w:r>
              <w:rPr>
                <w:b/>
                <w:spacing w:val="-60"/>
                <w:sz w:val="24"/>
              </w:rPr>
              <w:t> </w:t>
            </w:r>
            <w:r>
              <w:rPr>
                <w:rFonts w:ascii="Times New Roman" w:eastAsia="Times New Roman"/>
                <w:b/>
                <w:sz w:val="24"/>
              </w:rPr>
              <w:t>3-6</w:t>
              <w:tab/>
            </w:r>
            <w:r>
              <w:rPr>
                <w:b/>
                <w:w w:val="95"/>
                <w:sz w:val="24"/>
              </w:rPr>
              <w:t>地表水环境质量评价结果</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line="338" w:lineRule="auto" w:before="233"/>
              <w:ind w:left="100" w:right="183" w:firstLine="482"/>
              <w:jc w:val="both"/>
              <w:rPr>
                <w:b/>
                <w:sz w:val="24"/>
              </w:rPr>
            </w:pPr>
            <w:r>
              <w:rPr>
                <w:sz w:val="24"/>
              </w:rPr>
              <w:t>由表</w:t>
            </w:r>
            <w:r>
              <w:rPr>
                <w:rFonts w:ascii="Times New Roman" w:hAnsi="Times New Roman" w:eastAsia="Times New Roman"/>
                <w:sz w:val="24"/>
              </w:rPr>
              <w:t>3-6</w:t>
            </w:r>
            <w:r>
              <w:rPr>
                <w:sz w:val="24"/>
              </w:rPr>
              <w:t>可知，计算结果可知均小于</w:t>
            </w:r>
            <w:r>
              <w:rPr>
                <w:rFonts w:ascii="Times New Roman" w:hAnsi="Times New Roman" w:eastAsia="Times New Roman"/>
                <w:sz w:val="24"/>
              </w:rPr>
              <w:t>1</w:t>
            </w:r>
            <w:r>
              <w:rPr>
                <w:spacing w:val="-4"/>
                <w:sz w:val="24"/>
              </w:rPr>
              <w:t>，新宁河水质监测因子满足《地表水</w:t>
            </w:r>
            <w:r>
              <w:rPr>
                <w:spacing w:val="-22"/>
                <w:sz w:val="24"/>
              </w:rPr>
              <w:t>环境质量标准》</w:t>
            </w:r>
            <w:r>
              <w:rPr>
                <w:spacing w:val="-3"/>
                <w:sz w:val="24"/>
              </w:rPr>
              <w:t>（</w:t>
            </w:r>
            <w:r>
              <w:rPr>
                <w:rFonts w:ascii="Times New Roman" w:hAnsi="Times New Roman" w:eastAsia="Times New Roman"/>
                <w:spacing w:val="-3"/>
                <w:sz w:val="24"/>
              </w:rPr>
              <w:t>GB3838-2002</w:t>
            </w:r>
            <w:r>
              <w:rPr>
                <w:spacing w:val="-3"/>
                <w:sz w:val="24"/>
              </w:rPr>
              <w:t>）Ⅲ</w:t>
            </w:r>
            <w:r>
              <w:rPr>
                <w:spacing w:val="-5"/>
                <w:sz w:val="24"/>
              </w:rPr>
              <w:t>类标准要求，地表水环境质量较好。</w:t>
            </w:r>
            <w:r>
              <w:rPr>
                <w:b/>
                <w:sz w:val="24"/>
              </w:rPr>
              <w:t>三、声</w:t>
            </w:r>
            <w:r>
              <w:rPr>
                <w:b/>
                <w:w w:val="95"/>
                <w:sz w:val="24"/>
              </w:rPr>
              <w:t>环境质量现状</w:t>
            </w:r>
          </w:p>
          <w:p>
            <w:pPr>
              <w:pStyle w:val="TableParagraph"/>
              <w:spacing w:line="338" w:lineRule="auto" w:before="53"/>
              <w:ind w:left="100" w:firstLine="479"/>
              <w:jc w:val="left"/>
              <w:rPr>
                <w:sz w:val="24"/>
              </w:rPr>
            </w:pPr>
            <w:r>
              <w:rPr>
                <w:sz w:val="24"/>
              </w:rPr>
              <w:t>为了解该项目所在区域的声环境质量现状，四川省工业环境研究院于</w:t>
            </w:r>
            <w:r>
              <w:rPr>
                <w:rFonts w:ascii="Times New Roman" w:eastAsia="Times New Roman"/>
                <w:sz w:val="24"/>
              </w:rPr>
              <w:t>2017 </w:t>
            </w:r>
            <w:r>
              <w:rPr>
                <w:sz w:val="24"/>
              </w:rPr>
              <w:t>年</w:t>
            </w:r>
            <w:r>
              <w:rPr>
                <w:rFonts w:ascii="Times New Roman" w:eastAsia="Times New Roman"/>
                <w:sz w:val="24"/>
              </w:rPr>
              <w:t>8</w:t>
            </w:r>
            <w:r>
              <w:rPr>
                <w:sz w:val="24"/>
              </w:rPr>
              <w:t>月</w:t>
            </w:r>
            <w:r>
              <w:rPr>
                <w:rFonts w:ascii="Times New Roman" w:eastAsia="Times New Roman"/>
                <w:sz w:val="24"/>
              </w:rPr>
              <w:t>17</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18</w:t>
            </w:r>
            <w:r>
              <w:rPr>
                <w:sz w:val="24"/>
              </w:rPr>
              <w:t>日对该项目的噪声进行实测。具体如下：</w:t>
            </w:r>
          </w:p>
          <w:p>
            <w:pPr>
              <w:pStyle w:val="TableParagraph"/>
              <w:spacing w:before="24"/>
              <w:ind w:left="583"/>
              <w:jc w:val="left"/>
              <w:rPr>
                <w:b/>
                <w:sz w:val="24"/>
              </w:rPr>
            </w:pPr>
            <w:r>
              <w:rPr>
                <w:rFonts w:ascii="Times New Roman" w:eastAsia="Times New Roman"/>
                <w:b/>
                <w:w w:val="95"/>
                <w:sz w:val="24"/>
              </w:rPr>
              <w:t>1</w:t>
            </w:r>
            <w:r>
              <w:rPr>
                <w:b/>
                <w:w w:val="95"/>
                <w:sz w:val="24"/>
              </w:rPr>
              <w:t>、监测点位</w:t>
            </w:r>
          </w:p>
          <w:p>
            <w:pPr>
              <w:pStyle w:val="TableParagraph"/>
              <w:spacing w:before="136"/>
              <w:ind w:left="580"/>
              <w:jc w:val="left"/>
              <w:rPr>
                <w:sz w:val="24"/>
              </w:rPr>
            </w:pPr>
            <w:r>
              <w:rPr>
                <w:sz w:val="24"/>
              </w:rPr>
              <w:t>共布置了</w:t>
            </w:r>
            <w:r>
              <w:rPr>
                <w:rFonts w:ascii="Times New Roman" w:eastAsia="Times New Roman"/>
                <w:sz w:val="24"/>
              </w:rPr>
              <w:t>3</w:t>
            </w:r>
            <w:r>
              <w:rPr>
                <w:sz w:val="24"/>
              </w:rPr>
              <w:t>个噪声监测点，监测点位见表</w:t>
            </w:r>
            <w:r>
              <w:rPr>
                <w:rFonts w:ascii="Times New Roman" w:eastAsia="Times New Roman"/>
                <w:sz w:val="24"/>
              </w:rPr>
              <w:t>3-6</w:t>
            </w:r>
            <w:r>
              <w:rPr>
                <w:sz w:val="24"/>
              </w:rPr>
              <w:t>。</w:t>
            </w:r>
          </w:p>
          <w:p>
            <w:pPr>
              <w:pStyle w:val="TableParagraph"/>
              <w:tabs>
                <w:tab w:pos="1278" w:val="left" w:leader="none"/>
              </w:tabs>
              <w:spacing w:before="133"/>
              <w:ind w:left="476"/>
              <w:rPr>
                <w:b/>
                <w:sz w:val="24"/>
              </w:rPr>
            </w:pPr>
            <w:r>
              <w:rPr>
                <w:b/>
                <w:sz w:val="24"/>
              </w:rPr>
              <w:t>表</w:t>
            </w:r>
            <w:r>
              <w:rPr>
                <w:rFonts w:ascii="Times New Roman" w:eastAsia="Times New Roman"/>
                <w:b/>
                <w:sz w:val="24"/>
              </w:rPr>
              <w:t>3-6</w:t>
              <w:tab/>
            </w:r>
            <w:r>
              <w:rPr>
                <w:b/>
                <w:w w:val="95"/>
                <w:sz w:val="24"/>
              </w:rPr>
              <w:t>噪声监测布点</w:t>
            </w:r>
          </w:p>
          <w:p>
            <w:pPr>
              <w:pStyle w:val="TableParagraph"/>
              <w:tabs>
                <w:tab w:pos="3132" w:val="left" w:leader="none"/>
                <w:tab w:pos="6641" w:val="left" w:leader="none"/>
              </w:tabs>
              <w:spacing w:before="194"/>
              <w:ind w:left="698"/>
              <w:jc w:val="left"/>
              <w:rPr>
                <w:sz w:val="21"/>
              </w:rPr>
            </w:pPr>
            <w:r>
              <w:rPr>
                <w:sz w:val="21"/>
              </w:rPr>
              <w:t>序号</w:t>
              <w:tab/>
              <w:t>监测</w:t>
            </w:r>
            <w:r>
              <w:rPr>
                <w:spacing w:val="-3"/>
                <w:sz w:val="21"/>
              </w:rPr>
              <w:t>点</w:t>
            </w:r>
            <w:r>
              <w:rPr>
                <w:sz w:val="21"/>
              </w:rPr>
              <w:t>位</w:t>
              <w:tab/>
              <w:t>备注</w:t>
            </w:r>
          </w:p>
          <w:p>
            <w:pPr>
              <w:pStyle w:val="TableParagraph"/>
              <w:tabs>
                <w:tab w:pos="3132" w:val="left" w:leader="none"/>
                <w:tab w:pos="6430" w:val="left" w:leader="none"/>
              </w:tabs>
              <w:spacing w:before="77"/>
              <w:ind w:left="779"/>
              <w:jc w:val="left"/>
              <w:rPr>
                <w:sz w:val="21"/>
              </w:rPr>
            </w:pPr>
            <w:r>
              <w:rPr>
                <w:rFonts w:ascii="Times New Roman" w:eastAsia="Times New Roman"/>
                <w:sz w:val="21"/>
              </w:rPr>
              <w:t>N1</w:t>
              <w:tab/>
            </w:r>
            <w:r>
              <w:rPr>
                <w:sz w:val="21"/>
              </w:rPr>
              <w:t>道路</w:t>
            </w:r>
            <w:r>
              <w:rPr>
                <w:spacing w:val="-3"/>
                <w:sz w:val="21"/>
              </w:rPr>
              <w:t>起</w:t>
            </w:r>
            <w:r>
              <w:rPr>
                <w:sz w:val="21"/>
              </w:rPr>
              <w:t>点</w:t>
              <w:tab/>
              <w:t>场界</w:t>
            </w:r>
            <w:r>
              <w:rPr>
                <w:spacing w:val="-3"/>
                <w:sz w:val="21"/>
              </w:rPr>
              <w:t>噪声</w:t>
            </w:r>
          </w:p>
          <w:p>
            <w:pPr>
              <w:pStyle w:val="TableParagraph"/>
              <w:tabs>
                <w:tab w:pos="3132" w:val="left" w:leader="none"/>
                <w:tab w:pos="6430" w:val="left" w:leader="none"/>
              </w:tabs>
              <w:spacing w:before="24"/>
              <w:ind w:left="779"/>
              <w:jc w:val="left"/>
              <w:rPr>
                <w:sz w:val="21"/>
              </w:rPr>
            </w:pPr>
            <w:r>
              <w:rPr>
                <w:rFonts w:ascii="Times New Roman" w:eastAsia="Times New Roman"/>
                <w:sz w:val="21"/>
              </w:rPr>
              <w:t>N2</w:t>
              <w:tab/>
            </w:r>
            <w:r>
              <w:rPr>
                <w:position w:val="1"/>
                <w:sz w:val="21"/>
              </w:rPr>
              <w:t>道路</w:t>
            </w:r>
            <w:r>
              <w:rPr>
                <w:spacing w:val="-3"/>
                <w:position w:val="1"/>
                <w:sz w:val="21"/>
              </w:rPr>
              <w:t>终</w:t>
            </w:r>
            <w:r>
              <w:rPr>
                <w:position w:val="1"/>
                <w:sz w:val="21"/>
              </w:rPr>
              <w:t>点</w:t>
              <w:tab/>
            </w:r>
            <w:r>
              <w:rPr>
                <w:position w:val="4"/>
                <w:sz w:val="21"/>
              </w:rPr>
              <w:t>场界</w:t>
            </w:r>
            <w:r>
              <w:rPr>
                <w:spacing w:val="-3"/>
                <w:position w:val="4"/>
                <w:sz w:val="21"/>
              </w:rPr>
              <w:t>噪声</w:t>
            </w:r>
          </w:p>
          <w:p>
            <w:pPr>
              <w:pStyle w:val="TableParagraph"/>
              <w:tabs>
                <w:tab w:pos="2921" w:val="left" w:leader="none"/>
                <w:tab w:pos="6324" w:val="left" w:leader="none"/>
              </w:tabs>
              <w:spacing w:before="24"/>
              <w:ind w:left="779"/>
              <w:jc w:val="left"/>
              <w:rPr>
                <w:sz w:val="21"/>
              </w:rPr>
            </w:pPr>
            <w:r>
              <w:rPr>
                <w:rFonts w:ascii="Times New Roman" w:eastAsia="Times New Roman"/>
                <w:sz w:val="21"/>
              </w:rPr>
              <w:t>N3</w:t>
              <w:tab/>
            </w:r>
            <w:r>
              <w:rPr>
                <w:position w:val="1"/>
                <w:sz w:val="21"/>
              </w:rPr>
              <w:t>沿线</w:t>
            </w:r>
            <w:r>
              <w:rPr>
                <w:spacing w:val="-3"/>
                <w:position w:val="1"/>
                <w:sz w:val="21"/>
              </w:rPr>
              <w:t>居</w:t>
            </w:r>
            <w:r>
              <w:rPr>
                <w:position w:val="1"/>
                <w:sz w:val="21"/>
              </w:rPr>
              <w:t>民</w:t>
            </w:r>
            <w:r>
              <w:rPr>
                <w:spacing w:val="-3"/>
                <w:position w:val="1"/>
                <w:sz w:val="21"/>
              </w:rPr>
              <w:t>居</w:t>
            </w:r>
            <w:r>
              <w:rPr>
                <w:position w:val="1"/>
                <w:sz w:val="21"/>
              </w:rPr>
              <w:t>民</w:t>
              <w:tab/>
            </w:r>
            <w:r>
              <w:rPr>
                <w:position w:val="4"/>
                <w:sz w:val="21"/>
              </w:rPr>
              <w:t>敏感</w:t>
            </w:r>
            <w:r>
              <w:rPr>
                <w:spacing w:val="-3"/>
                <w:position w:val="4"/>
                <w:sz w:val="21"/>
              </w:rPr>
              <w:t>点</w:t>
            </w:r>
            <w:r>
              <w:rPr>
                <w:position w:val="4"/>
                <w:sz w:val="21"/>
              </w:rPr>
              <w:t>噪声</w:t>
            </w:r>
          </w:p>
          <w:p>
            <w:pPr>
              <w:pStyle w:val="TableParagraph"/>
              <w:spacing w:before="6"/>
              <w:jc w:val="left"/>
              <w:rPr>
                <w:sz w:val="32"/>
              </w:rPr>
            </w:pPr>
          </w:p>
          <w:p>
            <w:pPr>
              <w:pStyle w:val="TableParagraph"/>
              <w:ind w:left="583"/>
              <w:jc w:val="left"/>
              <w:rPr>
                <w:b/>
                <w:sz w:val="24"/>
              </w:rPr>
            </w:pPr>
            <w:r>
              <w:rPr>
                <w:rFonts w:ascii="Times New Roman" w:eastAsia="Times New Roman"/>
                <w:b/>
                <w:w w:val="95"/>
                <w:sz w:val="24"/>
              </w:rPr>
              <w:t>2</w:t>
            </w:r>
            <w:r>
              <w:rPr>
                <w:b/>
                <w:w w:val="95"/>
                <w:sz w:val="24"/>
              </w:rPr>
              <w:t>、监测方法及方法来源</w:t>
            </w:r>
          </w:p>
          <w:p>
            <w:pPr>
              <w:pStyle w:val="TableParagraph"/>
              <w:spacing w:before="136"/>
              <w:ind w:left="580"/>
              <w:jc w:val="left"/>
              <w:rPr>
                <w:sz w:val="24"/>
              </w:rPr>
            </w:pPr>
            <w:r>
              <w:rPr>
                <w:w w:val="95"/>
                <w:sz w:val="24"/>
              </w:rPr>
              <w:t>按《声环境质量标准》（</w:t>
            </w:r>
            <w:r>
              <w:rPr>
                <w:rFonts w:ascii="Times New Roman" w:eastAsia="Times New Roman"/>
                <w:w w:val="95"/>
                <w:sz w:val="24"/>
              </w:rPr>
              <w:t>GB3096-2008</w:t>
            </w:r>
            <w:r>
              <w:rPr>
                <w:w w:val="95"/>
                <w:sz w:val="24"/>
              </w:rPr>
              <w:t>）有关技术规范要求执行。</w:t>
            </w:r>
          </w:p>
        </w:tc>
      </w:tr>
    </w:tbl>
    <w:p>
      <w:pPr>
        <w:rPr>
          <w:sz w:val="2"/>
          <w:szCs w:val="2"/>
        </w:rPr>
      </w:pPr>
      <w:r>
        <w:rPr/>
        <w:pict>
          <v:group style="position:absolute;margin-left:92.293999pt;margin-top:630.569946pt;width:410.75pt;height:71.8pt;mso-position-horizontal-relative:page;mso-position-vertical-relative:page;z-index:-198712" coordorigin="1846,12611" coordsize="8215,1436">
            <v:line style="position:absolute" from="1856,12621" to="3449,12621" stroked="true" strokeweight=".48004pt" strokecolor="#000000">
              <v:stroke dashstyle="solid"/>
            </v:line>
            <v:line style="position:absolute" from="3449,12621" to="3459,12621" stroked="true" strokeweight=".48004pt" strokecolor="#000000">
              <v:stroke dashstyle="solid"/>
            </v:line>
            <v:line style="position:absolute" from="3459,12621" to="7134,12621" stroked="true" strokeweight=".48004pt" strokecolor="#000000">
              <v:stroke dashstyle="solid"/>
            </v:line>
            <v:line style="position:absolute" from="7144,12621" to="10051,12621" stroked="true" strokeweight=".48004pt" strokecolor="#000000">
              <v:stroke dashstyle="solid"/>
            </v:line>
            <v:line style="position:absolute" from="1856,12974" to="3449,12974" stroked="true" strokeweight=".72003pt" strokecolor="#000000">
              <v:stroke dashstyle="solid"/>
            </v:line>
            <v:line style="position:absolute" from="3464,12974" to="7134,12974" stroked="true" strokeweight=".72003pt" strokecolor="#000000">
              <v:stroke dashstyle="solid"/>
            </v:line>
            <v:line style="position:absolute" from="7134,12974" to="7149,12974" stroked="true" strokeweight=".72003pt" strokecolor="#000000">
              <v:stroke dashstyle="solid"/>
            </v:line>
            <v:line style="position:absolute" from="7149,12974" to="10051,12974" stroked="true" strokeweight=".72003pt" strokecolor="#000000">
              <v:stroke dashstyle="solid"/>
            </v:line>
            <v:line style="position:absolute" from="1856,13329" to="3449,13329" stroked="true" strokeweight=".71997pt" strokecolor="#000000">
              <v:stroke dashstyle="solid"/>
            </v:line>
            <v:line style="position:absolute" from="3464,13329" to="7134,13329" stroked="true" strokeweight=".71997pt" strokecolor="#000000">
              <v:stroke dashstyle="solid"/>
            </v:line>
            <v:line style="position:absolute" from="7134,13329" to="7149,13329" stroked="true" strokeweight=".71997pt" strokecolor="#000000">
              <v:stroke dashstyle="solid"/>
            </v:line>
            <v:line style="position:absolute" from="7149,13329" to="10051,13329" stroked="true" strokeweight=".71997pt" strokecolor="#000000">
              <v:stroke dashstyle="solid"/>
            </v:line>
            <v:line style="position:absolute" from="1856,13684" to="3449,13684" stroked="true" strokeweight=".71997pt" strokecolor="#000000">
              <v:stroke dashstyle="solid"/>
            </v:line>
            <v:line style="position:absolute" from="3464,13684" to="7134,13684" stroked="true" strokeweight=".71997pt" strokecolor="#000000">
              <v:stroke dashstyle="solid"/>
            </v:line>
            <v:line style="position:absolute" from="7134,13684" to="7149,13684" stroked="true" strokeweight=".71997pt" strokecolor="#000000">
              <v:stroke dashstyle="solid"/>
            </v:line>
            <v:line style="position:absolute" from="7149,13684" to="10051,13684" stroked="true" strokeweight=".71997pt" strokecolor="#000000">
              <v:stroke dashstyle="solid"/>
            </v:line>
            <v:line style="position:absolute" from="1851,12616" to="1851,14042" stroked="true" strokeweight=".48pt" strokecolor="#000000">
              <v:stroke dashstyle="solid"/>
            </v:line>
            <v:line style="position:absolute" from="1856,14037" to="3449,14037" stroked="true" strokeweight=".47998pt" strokecolor="#000000">
              <v:stroke dashstyle="solid"/>
            </v:line>
            <v:line style="position:absolute" from="3456,12626" to="3456,14032" stroked="true" strokeweight=".72pt" strokecolor="#000000">
              <v:stroke dashstyle="solid"/>
            </v:line>
            <v:line style="position:absolute" from="3449,14037" to="3459,14037" stroked="true" strokeweight=".47998pt" strokecolor="#000000">
              <v:stroke dashstyle="solid"/>
            </v:line>
            <v:line style="position:absolute" from="3459,14037" to="7134,14037" stroked="true" strokeweight=".47998pt" strokecolor="#000000">
              <v:stroke dashstyle="solid"/>
            </v:line>
            <v:line style="position:absolute" from="7139,12616" to="7139,14042" stroked="true" strokeweight=".48001pt" strokecolor="#000000">
              <v:stroke dashstyle="solid"/>
            </v:line>
            <v:line style="position:absolute" from="7144,14037" to="10051,14037" stroked="true" strokeweight=".47998pt" strokecolor="#000000">
              <v:stroke dashstyle="solid"/>
            </v:line>
            <v:line style="position:absolute" from="10056,12616" to="10056,14042" stroked="true" strokeweight=".47998pt" strokecolor="#000000">
              <v:stroke dashstyle="solid"/>
            </v:line>
            <w10:wrap type="none"/>
          </v:group>
        </w:pict>
      </w:r>
      <w:r>
        <w:rPr/>
        <w:pict>
          <v:shape style="position:absolute;margin-left:91.344009pt;margin-top:269.089996pt;width:411.95pt;height:175pt;mso-position-horizontal-relative:page;mso-position-vertical-relative:page;z-index:1744"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18" w:hRule="exact"/>
                    </w:trPr>
                    <w:tc>
                      <w:tcPr>
                        <w:tcW w:w="790" w:type="dxa"/>
                        <w:vMerge w:val="restart"/>
                        <w:tcBorders>
                          <w:left w:val="nil"/>
                        </w:tcBorders>
                      </w:tcPr>
                      <w:p>
                        <w:pPr>
                          <w:pStyle w:val="TableParagraph"/>
                          <w:spacing w:line="246" w:lineRule="exact"/>
                          <w:ind w:left="191"/>
                          <w:jc w:val="left"/>
                          <w:rPr>
                            <w:sz w:val="21"/>
                          </w:rPr>
                        </w:pPr>
                        <w:r>
                          <w:rPr>
                            <w:sz w:val="21"/>
                          </w:rPr>
                          <w:t>监测</w:t>
                        </w:r>
                      </w:p>
                      <w:p>
                        <w:pPr>
                          <w:pStyle w:val="TableParagraph"/>
                          <w:spacing w:before="133"/>
                          <w:ind w:left="191"/>
                          <w:jc w:val="left"/>
                          <w:rPr>
                            <w:sz w:val="21"/>
                          </w:rPr>
                        </w:pPr>
                        <w:r>
                          <w:rPr>
                            <w:sz w:val="21"/>
                          </w:rPr>
                          <w:t>点位</w:t>
                        </w:r>
                      </w:p>
                    </w:tc>
                    <w:tc>
                      <w:tcPr>
                        <w:tcW w:w="1275" w:type="dxa"/>
                        <w:vMerge w:val="restart"/>
                      </w:tcPr>
                      <w:p>
                        <w:pPr>
                          <w:pStyle w:val="TableParagraph"/>
                          <w:spacing w:before="174"/>
                          <w:ind w:left="213"/>
                          <w:jc w:val="left"/>
                          <w:rPr>
                            <w:sz w:val="21"/>
                          </w:rPr>
                        </w:pPr>
                        <w:r>
                          <w:rPr>
                            <w:sz w:val="21"/>
                          </w:rPr>
                          <w:t>监测时间</w:t>
                        </w:r>
                      </w:p>
                    </w:tc>
                    <w:tc>
                      <w:tcPr>
                        <w:tcW w:w="6159" w:type="dxa"/>
                        <w:gridSpan w:val="6"/>
                        <w:tcBorders>
                          <w:right w:val="nil"/>
                        </w:tcBorders>
                      </w:tcPr>
                      <w:p>
                        <w:pPr>
                          <w:pStyle w:val="TableParagraph"/>
                          <w:spacing w:line="241" w:lineRule="exact"/>
                          <w:ind w:left="2111" w:right="2112"/>
                          <w:rPr>
                            <w:sz w:val="21"/>
                          </w:rPr>
                        </w:pPr>
                        <w:r>
                          <w:rPr>
                            <w:sz w:val="21"/>
                          </w:rPr>
                          <w:t>评价因子及计算结果</w:t>
                        </w:r>
                      </w:p>
                    </w:tc>
                  </w:tr>
                  <w:tr>
                    <w:trPr>
                      <w:trHeight w:val="420" w:hRule="exact"/>
                    </w:trPr>
                    <w:tc>
                      <w:tcPr>
                        <w:tcW w:w="790" w:type="dxa"/>
                        <w:vMerge/>
                        <w:tcBorders>
                          <w:left w:val="nil"/>
                        </w:tcBorders>
                      </w:tcPr>
                      <w:p>
                        <w:pPr/>
                      </w:p>
                    </w:tc>
                    <w:tc>
                      <w:tcPr>
                        <w:tcW w:w="1275" w:type="dxa"/>
                        <w:vMerge/>
                      </w:tcPr>
                      <w:p>
                        <w:pPr/>
                      </w:p>
                    </w:tc>
                    <w:tc>
                      <w:tcPr>
                        <w:tcW w:w="876" w:type="dxa"/>
                      </w:tcPr>
                      <w:p>
                        <w:pPr>
                          <w:pStyle w:val="TableParagraph"/>
                          <w:spacing w:before="17"/>
                          <w:ind w:left="176" w:right="175"/>
                          <w:rPr>
                            <w:rFonts w:ascii="Times New Roman"/>
                            <w:sz w:val="21"/>
                          </w:rPr>
                        </w:pPr>
                        <w:r>
                          <w:rPr>
                            <w:rFonts w:ascii="Times New Roman"/>
                            <w:sz w:val="21"/>
                          </w:rPr>
                          <w:t>pH</w:t>
                        </w:r>
                      </w:p>
                    </w:tc>
                    <w:tc>
                      <w:tcPr>
                        <w:tcW w:w="888" w:type="dxa"/>
                      </w:tcPr>
                      <w:p>
                        <w:pPr>
                          <w:pStyle w:val="TableParagraph"/>
                          <w:spacing w:line="241" w:lineRule="exact"/>
                          <w:ind w:left="104" w:right="104"/>
                          <w:rPr>
                            <w:sz w:val="21"/>
                          </w:rPr>
                        </w:pPr>
                        <w:r>
                          <w:rPr>
                            <w:sz w:val="21"/>
                          </w:rPr>
                          <w:t>悬浮物</w:t>
                        </w:r>
                      </w:p>
                    </w:tc>
                    <w:tc>
                      <w:tcPr>
                        <w:tcW w:w="886" w:type="dxa"/>
                      </w:tcPr>
                      <w:p>
                        <w:pPr>
                          <w:pStyle w:val="TableParagraph"/>
                          <w:spacing w:before="17"/>
                          <w:ind w:left="196" w:right="196"/>
                          <w:rPr>
                            <w:rFonts w:ascii="Times New Roman"/>
                            <w:sz w:val="21"/>
                          </w:rPr>
                        </w:pPr>
                        <w:r>
                          <w:rPr>
                            <w:rFonts w:ascii="Times New Roman"/>
                            <w:sz w:val="21"/>
                          </w:rPr>
                          <w:t>COD</w:t>
                        </w:r>
                      </w:p>
                    </w:tc>
                    <w:tc>
                      <w:tcPr>
                        <w:tcW w:w="886" w:type="dxa"/>
                      </w:tcPr>
                      <w:p>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pPr>
                          <w:pStyle w:val="TableParagraph"/>
                          <w:spacing w:line="241" w:lineRule="exact"/>
                          <w:ind w:left="256" w:right="259"/>
                          <w:rPr>
                            <w:sz w:val="21"/>
                          </w:rPr>
                        </w:pPr>
                        <w:r>
                          <w:rPr>
                            <w:sz w:val="21"/>
                          </w:rPr>
                          <w:t>粪大肠菌群</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W1</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0.420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0.20</w:t>
                        </w:r>
                      </w:p>
                    </w:tc>
                    <w:tc>
                      <w:tcPr>
                        <w:tcW w:w="886" w:type="dxa"/>
                      </w:tcPr>
                      <w:p>
                        <w:pPr>
                          <w:pStyle w:val="TableParagraph"/>
                          <w:spacing w:line="235" w:lineRule="exact"/>
                          <w:ind w:right="194"/>
                          <w:jc w:val="right"/>
                          <w:rPr>
                            <w:rFonts w:ascii="Times New Roman"/>
                            <w:sz w:val="21"/>
                          </w:rPr>
                        </w:pPr>
                        <w:r>
                          <w:rPr>
                            <w:rFonts w:ascii="Times New Roman"/>
                            <w:sz w:val="21"/>
                          </w:rPr>
                          <w:t>0.175</w:t>
                        </w:r>
                      </w:p>
                    </w:tc>
                    <w:tc>
                      <w:tcPr>
                        <w:tcW w:w="1013" w:type="dxa"/>
                      </w:tcPr>
                      <w:p>
                        <w:pPr>
                          <w:pStyle w:val="TableParagraph"/>
                          <w:spacing w:line="235" w:lineRule="exact"/>
                          <w:ind w:left="183" w:right="183"/>
                          <w:rPr>
                            <w:rFonts w:ascii="Times New Roman"/>
                            <w:sz w:val="21"/>
                          </w:rPr>
                        </w:pPr>
                        <w:r>
                          <w:rPr>
                            <w:rFonts w:ascii="Times New Roman"/>
                            <w:sz w:val="21"/>
                          </w:rPr>
                          <w:t>0.038</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0.21</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0.475</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0.25</w:t>
                        </w:r>
                      </w:p>
                    </w:tc>
                    <w:tc>
                      <w:tcPr>
                        <w:tcW w:w="886" w:type="dxa"/>
                      </w:tcPr>
                      <w:p>
                        <w:pPr>
                          <w:pStyle w:val="TableParagraph"/>
                          <w:spacing w:line="235" w:lineRule="exact"/>
                          <w:ind w:right="194"/>
                          <w:jc w:val="right"/>
                          <w:rPr>
                            <w:rFonts w:ascii="Times New Roman"/>
                            <w:sz w:val="21"/>
                          </w:rPr>
                        </w:pPr>
                        <w:r>
                          <w:rPr>
                            <w:rFonts w:ascii="Times New Roman"/>
                            <w:sz w:val="21"/>
                          </w:rPr>
                          <w:t>0.150</w:t>
                        </w:r>
                      </w:p>
                    </w:tc>
                    <w:tc>
                      <w:tcPr>
                        <w:tcW w:w="1013" w:type="dxa"/>
                      </w:tcPr>
                      <w:p>
                        <w:pPr>
                          <w:pStyle w:val="TableParagraph"/>
                          <w:spacing w:line="235" w:lineRule="exact"/>
                          <w:ind w:left="183" w:right="183"/>
                          <w:rPr>
                            <w:rFonts w:ascii="Times New Roman"/>
                            <w:sz w:val="21"/>
                          </w:rPr>
                        </w:pPr>
                        <w:r>
                          <w:rPr>
                            <w:rFonts w:ascii="Times New Roman"/>
                            <w:sz w:val="21"/>
                          </w:rPr>
                          <w:t>0.070</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0.27</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0.360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0.30</w:t>
                        </w:r>
                      </w:p>
                    </w:tc>
                    <w:tc>
                      <w:tcPr>
                        <w:tcW w:w="886" w:type="dxa"/>
                      </w:tcPr>
                      <w:p>
                        <w:pPr>
                          <w:pStyle w:val="TableParagraph"/>
                          <w:spacing w:line="235" w:lineRule="exact"/>
                          <w:ind w:right="194"/>
                          <w:jc w:val="right"/>
                          <w:rPr>
                            <w:rFonts w:ascii="Times New Roman"/>
                            <w:sz w:val="21"/>
                          </w:rPr>
                        </w:pPr>
                        <w:r>
                          <w:rPr>
                            <w:rFonts w:ascii="Times New Roman"/>
                            <w:sz w:val="21"/>
                          </w:rPr>
                          <w:t>0.275</w:t>
                        </w:r>
                      </w:p>
                    </w:tc>
                    <w:tc>
                      <w:tcPr>
                        <w:tcW w:w="1013" w:type="dxa"/>
                      </w:tcPr>
                      <w:p>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0.23</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W2</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0.290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0.55</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0.26</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0.340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0.60</w:t>
                        </w:r>
                      </w:p>
                    </w:tc>
                    <w:tc>
                      <w:tcPr>
                        <w:tcW w:w="886" w:type="dxa"/>
                      </w:tcPr>
                      <w:p>
                        <w:pPr>
                          <w:pStyle w:val="TableParagraph"/>
                          <w:spacing w:line="235" w:lineRule="exact"/>
                          <w:ind w:right="247"/>
                          <w:jc w:val="right"/>
                          <w:rPr>
                            <w:rFonts w:ascii="Times New Roman"/>
                            <w:sz w:val="21"/>
                          </w:rPr>
                        </w:pPr>
                        <w:r>
                          <w:rPr>
                            <w:rFonts w:ascii="Times New Roman"/>
                            <w:sz w:val="21"/>
                          </w:rPr>
                          <w:t>0.50</w:t>
                        </w:r>
                      </w:p>
                    </w:tc>
                    <w:tc>
                      <w:tcPr>
                        <w:tcW w:w="1013" w:type="dxa"/>
                      </w:tcPr>
                      <w:p>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0.34</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0.240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0.50</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0.33</w:t>
                        </w:r>
                      </w:p>
                    </w:tc>
                  </w:tr>
                  <w:tr>
                    <w:trPr>
                      <w:trHeight w:val="420" w:hRule="exact"/>
                    </w:trPr>
                    <w:tc>
                      <w:tcPr>
                        <w:tcW w:w="2065" w:type="dxa"/>
                        <w:gridSpan w:val="2"/>
                        <w:tcBorders>
                          <w:left w:val="nil"/>
                        </w:tcBorders>
                      </w:tcPr>
                      <w:p>
                        <w:pPr>
                          <w:pStyle w:val="TableParagraph"/>
                          <w:spacing w:line="241" w:lineRule="exact"/>
                          <w:ind w:left="808" w:right="790"/>
                          <w:rPr>
                            <w:sz w:val="21"/>
                          </w:rPr>
                        </w:pPr>
                        <w:r>
                          <w:rPr>
                            <w:sz w:val="21"/>
                          </w:rPr>
                          <w:t>备注</w:t>
                        </w:r>
                      </w:p>
                    </w:tc>
                    <w:tc>
                      <w:tcPr>
                        <w:tcW w:w="6159" w:type="dxa"/>
                        <w:gridSpan w:val="6"/>
                        <w:tcBorders>
                          <w:right w:val="nil"/>
                        </w:tcBorders>
                      </w:tcPr>
                      <w:p>
                        <w:pPr>
                          <w:pStyle w:val="TableParagraph"/>
                          <w:spacing w:line="257" w:lineRule="exact"/>
                          <w:ind w:left="527"/>
                          <w:jc w:val="left"/>
                          <w:rPr>
                            <w:sz w:val="21"/>
                          </w:rPr>
                        </w:pPr>
                        <w:r>
                          <w:rPr>
                            <w:rFonts w:ascii="Times New Roman" w:hAnsi="Times New Roman" w:eastAsia="Times New Roman"/>
                            <w:w w:val="100"/>
                            <w:sz w:val="21"/>
                          </w:rPr>
                          <w:t>1</w:t>
                        </w:r>
                        <w:r>
                          <w:rPr>
                            <w:w w:val="100"/>
                            <w:sz w:val="21"/>
                          </w:rPr>
                          <w:t>、</w:t>
                        </w:r>
                        <w:r>
                          <w:rPr>
                            <w:rFonts w:ascii="Times New Roman" w:hAnsi="Times New Roman" w:eastAsia="Times New Roman"/>
                            <w:spacing w:val="-3"/>
                            <w:w w:val="100"/>
                            <w:sz w:val="21"/>
                          </w:rPr>
                          <w:t>p</w:t>
                        </w:r>
                        <w:r>
                          <w:rPr>
                            <w:rFonts w:ascii="Times New Roman" w:hAnsi="Times New Roman" w:eastAsia="Times New Roman"/>
                            <w:w w:val="100"/>
                            <w:sz w:val="21"/>
                          </w:rPr>
                          <w:t>H</w:t>
                        </w:r>
                        <w:r>
                          <w:rPr>
                            <w:rFonts w:ascii="Times New Roman" w:hAnsi="Times New Roman" w:eastAsia="Times New Roman"/>
                            <w:spacing w:val="1"/>
                            <w:sz w:val="21"/>
                          </w:rPr>
                          <w:t> </w:t>
                        </w:r>
                        <w:r>
                          <w:rPr>
                            <w:spacing w:val="-12"/>
                            <w:w w:val="100"/>
                            <w:sz w:val="21"/>
                          </w:rPr>
                          <w:t>单位为“无量纲”；粪大肠菌群单位为“个</w:t>
                        </w:r>
                        <w:r>
                          <w:rPr>
                            <w:rFonts w:ascii="Times New Roman" w:hAnsi="Times New Roman" w:eastAsia="Times New Roman"/>
                            <w:spacing w:val="-2"/>
                            <w:w w:val="100"/>
                            <w:sz w:val="21"/>
                          </w:rPr>
                          <w:t>/</w:t>
                        </w:r>
                        <w:r>
                          <w:rPr>
                            <w:spacing w:val="-37"/>
                            <w:w w:val="100"/>
                            <w:sz w:val="21"/>
                          </w:rPr>
                          <w:t>升”。</w:t>
                        </w:r>
                      </w:p>
                    </w:tc>
                  </w:tr>
                </w:tbl>
                <w:p>
                  <w:pPr>
                    <w:pStyle w:val="BodyText"/>
                  </w:pPr>
                </w:p>
              </w:txbxContent>
            </v:textbox>
            <w10:wrap type="none"/>
          </v:shape>
        </w:pict>
      </w:r>
      <w:r>
        <w:rPr/>
        <w:pict>
          <v:shape style="position:absolute;margin-left:91.584pt;margin-top:269.209991pt;width:411.2pt;height:174.75pt;mso-position-horizontal-relative:page;mso-position-vertical-relative:page;z-index:176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20" w:hRule="exact"/>
                    </w:trPr>
                    <w:tc>
                      <w:tcPr>
                        <w:tcW w:w="790" w:type="dxa"/>
                        <w:vMerge w:val="restart"/>
                      </w:tcPr>
                      <w:p>
                        <w:pPr/>
                      </w:p>
                    </w:tc>
                    <w:tc>
                      <w:tcPr>
                        <w:tcW w:w="1275" w:type="dxa"/>
                        <w:vMerge w:val="restart"/>
                      </w:tcPr>
                      <w:p>
                        <w:pPr/>
                      </w:p>
                    </w:tc>
                    <w:tc>
                      <w:tcPr>
                        <w:tcW w:w="6159" w:type="dxa"/>
                        <w:gridSpan w:val="6"/>
                      </w:tcPr>
                      <w:p>
                        <w:pPr/>
                      </w:p>
                    </w:tc>
                  </w:tr>
                  <w:tr>
                    <w:trPr>
                      <w:trHeight w:val="420" w:hRule="exact"/>
                    </w:trPr>
                    <w:tc>
                      <w:tcPr>
                        <w:tcW w:w="790" w:type="dxa"/>
                        <w:vMerge/>
                      </w:tcPr>
                      <w:p>
                        <w:pPr/>
                      </w:p>
                    </w:tc>
                    <w:tc>
                      <w:tcPr>
                        <w:tcW w:w="1275" w:type="dxa"/>
                        <w:vMerge/>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422" w:hRule="exact"/>
                    </w:trPr>
                    <w:tc>
                      <w:tcPr>
                        <w:tcW w:w="2065" w:type="dxa"/>
                        <w:gridSpan w:val="2"/>
                      </w:tcPr>
                      <w:p>
                        <w:pPr/>
                      </w:p>
                    </w:tc>
                    <w:tc>
                      <w:tcPr>
                        <w:tcW w:w="6159" w:type="dxa"/>
                        <w:gridSpan w:val="6"/>
                      </w:tcPr>
                      <w:p>
                        <w:pPr/>
                      </w:p>
                    </w:tc>
                  </w:tr>
                </w:tbl>
                <w:p>
                  <w:pPr>
                    <w:pStyle w:val="BodyText"/>
                  </w:pPr>
                </w:p>
              </w:txbxContent>
            </v:textbox>
            <w10:wrap type="none"/>
          </v:shape>
        </w:pict>
      </w:r>
      <w:r>
        <w:rPr/>
        <w:pict>
          <v:shape style="position:absolute;margin-left:92.543999pt;margin-top:631.059937pt;width:410.25pt;height:70.8pt;mso-position-horizontal-relative:page;mso-position-vertical-relative:page;z-index:179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06"/>
                    <w:gridCol w:w="3683"/>
                    <w:gridCol w:w="2917"/>
                  </w:tblGrid>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bl>
                <w:p>
                  <w:pPr>
                    <w:pStyle w:val="BodyText"/>
                  </w:pPr>
                </w:p>
              </w:txbxContent>
            </v:textbox>
            <w10:wrap type="none"/>
          </v:shape>
        </w:pict>
      </w:r>
    </w:p>
    <w:p>
      <w:pPr>
        <w:spacing w:after="0"/>
        <w:rPr>
          <w:sz w:val="2"/>
          <w:szCs w:val="2"/>
        </w:rPr>
        <w:sectPr>
          <w:pgSz w:w="11910" w:h="16850"/>
          <w:pgMar w:header="0" w:footer="1141" w:top="1440" w:bottom="1340" w:left="1620" w:right="1620"/>
        </w:sectPr>
      </w:pPr>
    </w:p>
    <w:p>
      <w:pPr>
        <w:pStyle w:val="Heading3"/>
        <w:spacing w:before="13"/>
        <w:ind w:left="708"/>
      </w:pPr>
      <w:r>
        <w:rPr>
          <w:rFonts w:ascii="Times New Roman" w:eastAsia="Times New Roman"/>
          <w:w w:val="95"/>
        </w:rPr>
        <w:t>3</w:t>
      </w:r>
      <w:r>
        <w:rPr>
          <w:w w:val="95"/>
        </w:rPr>
        <w:t>、监测时间和频率</w:t>
      </w:r>
    </w:p>
    <w:p>
      <w:pPr>
        <w:pStyle w:val="BodyText"/>
        <w:spacing w:line="336" w:lineRule="auto" w:before="135"/>
        <w:ind w:left="706" w:right="2662"/>
      </w:pPr>
      <w:r>
        <w:rPr/>
        <w:t>监测时间：</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17 </w:t>
      </w:r>
      <w:r>
        <w:rPr/>
        <w:t>日</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18 </w:t>
      </w:r>
      <w:r>
        <w:rPr/>
        <w:t>日。</w:t>
      </w:r>
      <w:r>
        <w:rPr>
          <w:spacing w:val="-6"/>
        </w:rPr>
        <w:t>监测频率：连续监测 </w:t>
      </w:r>
      <w:r>
        <w:rPr>
          <w:rFonts w:ascii="Times New Roman" w:eastAsia="Times New Roman"/>
        </w:rPr>
        <w:t>2 </w:t>
      </w:r>
      <w:r>
        <w:rPr/>
        <w:t>天，每天昼、夜间各一次。</w:t>
      </w:r>
    </w:p>
    <w:p>
      <w:pPr>
        <w:pStyle w:val="Heading3"/>
        <w:spacing w:before="29"/>
        <w:ind w:left="708"/>
      </w:pPr>
      <w:r>
        <w:rPr>
          <w:rFonts w:ascii="Times New Roman" w:eastAsia="Times New Roman"/>
          <w:w w:val="95"/>
        </w:rPr>
        <w:t>4</w:t>
      </w:r>
      <w:r>
        <w:rPr>
          <w:w w:val="95"/>
        </w:rPr>
        <w:t>、评价方法</w:t>
      </w:r>
    </w:p>
    <w:p>
      <w:pPr>
        <w:pStyle w:val="BodyText"/>
        <w:spacing w:before="133"/>
        <w:ind w:left="706"/>
      </w:pPr>
      <w:r>
        <w:rPr/>
        <w:t>采用实测值（</w:t>
      </w:r>
      <w:r>
        <w:rPr>
          <w:rFonts w:ascii="Times New Roman" w:eastAsia="Times New Roman"/>
        </w:rPr>
        <w:t>L</w:t>
      </w:r>
      <w:r>
        <w:rPr>
          <w:rFonts w:ascii="Times New Roman" w:eastAsia="Times New Roman"/>
          <w:position w:val="-2"/>
          <w:sz w:val="16"/>
        </w:rPr>
        <w:t>Aeq</w:t>
      </w:r>
      <w:r>
        <w:rPr/>
        <w:t>）与标准值进行比较的方法进行评价。</w:t>
      </w:r>
    </w:p>
    <w:p>
      <w:pPr>
        <w:pStyle w:val="Heading3"/>
        <w:spacing w:before="123"/>
        <w:ind w:left="708"/>
      </w:pPr>
      <w:r>
        <w:rPr>
          <w:rFonts w:ascii="Times New Roman" w:eastAsia="Times New Roman"/>
          <w:w w:val="95"/>
        </w:rPr>
        <w:t>5</w:t>
      </w:r>
      <w:r>
        <w:rPr>
          <w:w w:val="95"/>
        </w:rPr>
        <w:t>、监测结果</w:t>
      </w:r>
    </w:p>
    <w:p>
      <w:pPr>
        <w:pStyle w:val="BodyText"/>
        <w:spacing w:before="133"/>
        <w:ind w:left="706"/>
      </w:pPr>
      <w:r>
        <w:rPr/>
        <w:t>噪声监测结果见表</w:t>
      </w:r>
      <w:r>
        <w:rPr>
          <w:rFonts w:ascii="Times New Roman" w:eastAsia="Times New Roman"/>
        </w:rPr>
        <w:t>3-7</w:t>
      </w:r>
      <w:r>
        <w:rPr/>
        <w:t>。</w:t>
      </w:r>
    </w:p>
    <w:p>
      <w:pPr>
        <w:tabs>
          <w:tab w:pos="3255" w:val="left" w:leader="none"/>
          <w:tab w:pos="5425" w:val="left" w:leader="none"/>
        </w:tabs>
        <w:spacing w:before="135"/>
        <w:ind w:left="2453" w:right="0" w:firstLine="0"/>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sz w:val="24"/>
        </w:rPr>
        <w:t>单位：</w:t>
      </w:r>
      <w:r>
        <w:rPr>
          <w:rFonts w:ascii="Times New Roman" w:eastAsia="Times New Roman"/>
          <w:b/>
          <w:spacing w:val="-1"/>
          <w:sz w:val="21"/>
        </w:rPr>
        <w:t>dB(A)</w:t>
      </w:r>
    </w:p>
    <w:p>
      <w:pPr>
        <w:spacing w:after="0"/>
        <w:jc w:val="left"/>
        <w:rPr>
          <w:rFonts w:ascii="Times New Roman" w:eastAsia="Times New Roman"/>
          <w:sz w:val="21"/>
        </w:rPr>
        <w:sectPr>
          <w:pgSz w:w="11910" w:h="16850"/>
          <w:pgMar w:header="0" w:footer="1141" w:top="1400" w:bottom="1340" w:left="1620" w:right="1620"/>
        </w:sectPr>
      </w:pPr>
    </w:p>
    <w:p>
      <w:pPr>
        <w:spacing w:line="238" w:lineRule="exact" w:before="189"/>
        <w:ind w:left="0" w:right="0" w:firstLine="0"/>
        <w:jc w:val="right"/>
        <w:rPr>
          <w:rFonts w:ascii="Times New Roman"/>
          <w:sz w:val="21"/>
        </w:rPr>
      </w:pPr>
      <w:r>
        <w:rPr/>
        <w:pict>
          <v:shape style="position:absolute;margin-left:92.304001pt;margin-top:8.812715pt;width:406.4pt;height:101.2pt;mso-position-horizontal-relative:page;mso-position-vertical-relative:paragraph;z-index:184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6"/>
                    <w:gridCol w:w="1618"/>
                    <w:gridCol w:w="1616"/>
                    <w:gridCol w:w="1615"/>
                    <w:gridCol w:w="1618"/>
                  </w:tblGrid>
                  <w:tr>
                    <w:trPr>
                      <w:trHeight w:val="269" w:hRule="exact"/>
                    </w:trPr>
                    <w:tc>
                      <w:tcPr>
                        <w:tcW w:w="1646" w:type="dxa"/>
                        <w:vMerge w:val="restart"/>
                      </w:tcPr>
                      <w:p>
                        <w:pPr>
                          <w:pStyle w:val="TableParagraph"/>
                          <w:spacing w:before="100"/>
                          <w:ind w:left="398"/>
                          <w:jc w:val="left"/>
                          <w:rPr>
                            <w:sz w:val="21"/>
                          </w:rPr>
                        </w:pPr>
                        <w:r>
                          <w:rPr>
                            <w:sz w:val="21"/>
                          </w:rPr>
                          <w:t>监测点位</w:t>
                        </w:r>
                      </w:p>
                    </w:tc>
                    <w:tc>
                      <w:tcPr>
                        <w:tcW w:w="3234" w:type="dxa"/>
                        <w:gridSpan w:val="2"/>
                      </w:tcPr>
                      <w:p>
                        <w:pPr/>
                      </w:p>
                    </w:tc>
                    <w:tc>
                      <w:tcPr>
                        <w:tcW w:w="3233" w:type="dxa"/>
                        <w:gridSpan w:val="2"/>
                      </w:tcPr>
                      <w:p>
                        <w:pPr/>
                      </w:p>
                    </w:tc>
                  </w:tr>
                  <w:tr>
                    <w:trPr>
                      <w:trHeight w:val="283" w:hRule="exact"/>
                    </w:trPr>
                    <w:tc>
                      <w:tcPr>
                        <w:tcW w:w="1646" w:type="dxa"/>
                        <w:vMerge/>
                      </w:tcPr>
                      <w:p>
                        <w:pPr/>
                      </w:p>
                    </w:tc>
                    <w:tc>
                      <w:tcPr>
                        <w:tcW w:w="1618" w:type="dxa"/>
                      </w:tcPr>
                      <w:p>
                        <w:pPr/>
                      </w:p>
                    </w:tc>
                    <w:tc>
                      <w:tcPr>
                        <w:tcW w:w="1616" w:type="dxa"/>
                      </w:tcPr>
                      <w:p>
                        <w:pPr/>
                      </w:p>
                    </w:tc>
                    <w:tc>
                      <w:tcPr>
                        <w:tcW w:w="1615" w:type="dxa"/>
                      </w:tcPr>
                      <w:p>
                        <w:pPr/>
                      </w:p>
                    </w:tc>
                    <w:tc>
                      <w:tcPr>
                        <w:tcW w:w="1618" w:type="dxa"/>
                      </w:tcPr>
                      <w:p>
                        <w:pPr/>
                      </w:p>
                    </w:tc>
                  </w:tr>
                  <w:tr>
                    <w:trPr>
                      <w:trHeight w:val="293" w:hRule="exact"/>
                    </w:trPr>
                    <w:tc>
                      <w:tcPr>
                        <w:tcW w:w="1646" w:type="dxa"/>
                      </w:tcPr>
                      <w:p>
                        <w:pPr>
                          <w:pStyle w:val="TableParagraph"/>
                          <w:spacing w:before="29"/>
                          <w:ind w:left="253" w:right="252"/>
                          <w:rPr>
                            <w:rFonts w:ascii="Times New Roman"/>
                            <w:sz w:val="21"/>
                          </w:rPr>
                        </w:pPr>
                        <w:r>
                          <w:rPr>
                            <w:rFonts w:ascii="Times New Roman"/>
                            <w:sz w:val="21"/>
                          </w:rPr>
                          <w:t>N1</w:t>
                        </w:r>
                      </w:p>
                    </w:tc>
                    <w:tc>
                      <w:tcPr>
                        <w:tcW w:w="1618" w:type="dxa"/>
                      </w:tcPr>
                      <w:p>
                        <w:pPr>
                          <w:pStyle w:val="TableParagraph"/>
                          <w:spacing w:before="15"/>
                          <w:ind w:left="603" w:right="598"/>
                          <w:rPr>
                            <w:rFonts w:ascii="Times New Roman"/>
                            <w:sz w:val="21"/>
                          </w:rPr>
                        </w:pPr>
                        <w:r>
                          <w:rPr>
                            <w:rFonts w:ascii="Times New Roman"/>
                            <w:sz w:val="21"/>
                          </w:rPr>
                          <w:t>52.8</w:t>
                        </w:r>
                      </w:p>
                    </w:tc>
                    <w:tc>
                      <w:tcPr>
                        <w:tcW w:w="1616" w:type="dxa"/>
                      </w:tcPr>
                      <w:p>
                        <w:pPr>
                          <w:pStyle w:val="TableParagraph"/>
                          <w:spacing w:before="15"/>
                          <w:ind w:left="600" w:right="598"/>
                          <w:rPr>
                            <w:rFonts w:ascii="Times New Roman"/>
                            <w:sz w:val="21"/>
                          </w:rPr>
                        </w:pPr>
                        <w:r>
                          <w:rPr>
                            <w:rFonts w:ascii="Times New Roman"/>
                            <w:sz w:val="21"/>
                          </w:rPr>
                          <w:t>46.2</w:t>
                        </w:r>
                      </w:p>
                    </w:tc>
                    <w:tc>
                      <w:tcPr>
                        <w:tcW w:w="1615" w:type="dxa"/>
                      </w:tcPr>
                      <w:p>
                        <w:pPr>
                          <w:pStyle w:val="TableParagraph"/>
                          <w:spacing w:line="235" w:lineRule="exact"/>
                          <w:ind w:left="600" w:right="598"/>
                          <w:rPr>
                            <w:rFonts w:ascii="Times New Roman"/>
                            <w:sz w:val="21"/>
                          </w:rPr>
                        </w:pPr>
                        <w:r>
                          <w:rPr>
                            <w:rFonts w:ascii="Times New Roman"/>
                            <w:sz w:val="21"/>
                          </w:rPr>
                          <w:t>53.4</w:t>
                        </w:r>
                      </w:p>
                    </w:tc>
                    <w:tc>
                      <w:tcPr>
                        <w:tcW w:w="1618" w:type="dxa"/>
                      </w:tcPr>
                      <w:p>
                        <w:pPr>
                          <w:pStyle w:val="TableParagraph"/>
                          <w:spacing w:line="235" w:lineRule="exact"/>
                          <w:ind w:left="603" w:right="598"/>
                          <w:rPr>
                            <w:rFonts w:ascii="Times New Roman"/>
                            <w:sz w:val="21"/>
                          </w:rPr>
                        </w:pPr>
                        <w:r>
                          <w:rPr>
                            <w:rFonts w:ascii="Times New Roman"/>
                            <w:sz w:val="21"/>
                          </w:rPr>
                          <w:t>46.5</w:t>
                        </w:r>
                      </w:p>
                    </w:tc>
                  </w:tr>
                  <w:tr>
                    <w:trPr>
                      <w:trHeight w:val="290" w:hRule="exact"/>
                    </w:trPr>
                    <w:tc>
                      <w:tcPr>
                        <w:tcW w:w="1646" w:type="dxa"/>
                      </w:tcPr>
                      <w:p>
                        <w:pPr>
                          <w:pStyle w:val="TableParagraph"/>
                          <w:spacing w:before="27"/>
                          <w:ind w:left="253" w:right="252"/>
                          <w:rPr>
                            <w:rFonts w:ascii="Times New Roman"/>
                            <w:sz w:val="21"/>
                          </w:rPr>
                        </w:pPr>
                        <w:r>
                          <w:rPr>
                            <w:rFonts w:ascii="Times New Roman"/>
                            <w:sz w:val="21"/>
                          </w:rPr>
                          <w:t>N2</w:t>
                        </w:r>
                      </w:p>
                    </w:tc>
                    <w:tc>
                      <w:tcPr>
                        <w:tcW w:w="1618" w:type="dxa"/>
                      </w:tcPr>
                      <w:p>
                        <w:pPr>
                          <w:pStyle w:val="TableParagraph"/>
                          <w:spacing w:before="12"/>
                          <w:ind w:left="603" w:right="598"/>
                          <w:rPr>
                            <w:rFonts w:ascii="Times New Roman"/>
                            <w:sz w:val="21"/>
                          </w:rPr>
                        </w:pPr>
                        <w:r>
                          <w:rPr>
                            <w:rFonts w:ascii="Times New Roman"/>
                            <w:sz w:val="21"/>
                          </w:rPr>
                          <w:t>51.4</w:t>
                        </w:r>
                      </w:p>
                    </w:tc>
                    <w:tc>
                      <w:tcPr>
                        <w:tcW w:w="1616" w:type="dxa"/>
                      </w:tcPr>
                      <w:p>
                        <w:pPr>
                          <w:pStyle w:val="TableParagraph"/>
                          <w:spacing w:before="12"/>
                          <w:ind w:left="600" w:right="598"/>
                          <w:rPr>
                            <w:rFonts w:ascii="Times New Roman"/>
                            <w:sz w:val="21"/>
                          </w:rPr>
                        </w:pPr>
                        <w:r>
                          <w:rPr>
                            <w:rFonts w:ascii="Times New Roman"/>
                            <w:sz w:val="21"/>
                          </w:rPr>
                          <w:t>46.3</w:t>
                        </w:r>
                      </w:p>
                    </w:tc>
                    <w:tc>
                      <w:tcPr>
                        <w:tcW w:w="1615" w:type="dxa"/>
                      </w:tcPr>
                      <w:p>
                        <w:pPr>
                          <w:pStyle w:val="TableParagraph"/>
                          <w:spacing w:line="235" w:lineRule="exact"/>
                          <w:ind w:left="600" w:right="598"/>
                          <w:rPr>
                            <w:rFonts w:ascii="Times New Roman"/>
                            <w:sz w:val="21"/>
                          </w:rPr>
                        </w:pPr>
                        <w:r>
                          <w:rPr>
                            <w:rFonts w:ascii="Times New Roman"/>
                            <w:sz w:val="21"/>
                          </w:rPr>
                          <w:t>51.2</w:t>
                        </w:r>
                      </w:p>
                    </w:tc>
                    <w:tc>
                      <w:tcPr>
                        <w:tcW w:w="1618" w:type="dxa"/>
                      </w:tcPr>
                      <w:p>
                        <w:pPr>
                          <w:pStyle w:val="TableParagraph"/>
                          <w:spacing w:line="235" w:lineRule="exact"/>
                          <w:ind w:left="603" w:right="598"/>
                          <w:rPr>
                            <w:rFonts w:ascii="Times New Roman"/>
                            <w:sz w:val="21"/>
                          </w:rPr>
                        </w:pPr>
                        <w:r>
                          <w:rPr>
                            <w:rFonts w:ascii="Times New Roman"/>
                            <w:sz w:val="21"/>
                          </w:rPr>
                          <w:t>45.4</w:t>
                        </w:r>
                      </w:p>
                    </w:tc>
                  </w:tr>
                  <w:tr>
                    <w:trPr>
                      <w:trHeight w:val="293" w:hRule="exact"/>
                    </w:trPr>
                    <w:tc>
                      <w:tcPr>
                        <w:tcW w:w="1646" w:type="dxa"/>
                      </w:tcPr>
                      <w:p>
                        <w:pPr>
                          <w:pStyle w:val="TableParagraph"/>
                          <w:spacing w:before="29"/>
                          <w:ind w:left="253" w:right="252"/>
                          <w:rPr>
                            <w:rFonts w:ascii="Times New Roman"/>
                            <w:sz w:val="21"/>
                          </w:rPr>
                        </w:pPr>
                        <w:r>
                          <w:rPr>
                            <w:rFonts w:ascii="Times New Roman"/>
                            <w:sz w:val="21"/>
                          </w:rPr>
                          <w:t>N3</w:t>
                        </w:r>
                      </w:p>
                    </w:tc>
                    <w:tc>
                      <w:tcPr>
                        <w:tcW w:w="1618" w:type="dxa"/>
                      </w:tcPr>
                      <w:p>
                        <w:pPr>
                          <w:pStyle w:val="TableParagraph"/>
                          <w:spacing w:before="15"/>
                          <w:ind w:left="603" w:right="598"/>
                          <w:rPr>
                            <w:rFonts w:ascii="Times New Roman"/>
                            <w:sz w:val="21"/>
                          </w:rPr>
                        </w:pPr>
                        <w:r>
                          <w:rPr>
                            <w:rFonts w:ascii="Times New Roman"/>
                            <w:sz w:val="21"/>
                          </w:rPr>
                          <w:t>52.1</w:t>
                        </w:r>
                      </w:p>
                    </w:tc>
                    <w:tc>
                      <w:tcPr>
                        <w:tcW w:w="1616" w:type="dxa"/>
                      </w:tcPr>
                      <w:p>
                        <w:pPr>
                          <w:pStyle w:val="TableParagraph"/>
                          <w:spacing w:before="15"/>
                          <w:ind w:left="600" w:right="598"/>
                          <w:rPr>
                            <w:rFonts w:ascii="Times New Roman"/>
                            <w:sz w:val="21"/>
                          </w:rPr>
                        </w:pPr>
                        <w:r>
                          <w:rPr>
                            <w:rFonts w:ascii="Times New Roman"/>
                            <w:sz w:val="21"/>
                          </w:rPr>
                          <w:t>44.7</w:t>
                        </w:r>
                      </w:p>
                    </w:tc>
                    <w:tc>
                      <w:tcPr>
                        <w:tcW w:w="1615" w:type="dxa"/>
                      </w:tcPr>
                      <w:p>
                        <w:pPr>
                          <w:pStyle w:val="TableParagraph"/>
                          <w:spacing w:line="237" w:lineRule="exact"/>
                          <w:ind w:left="600" w:right="598"/>
                          <w:rPr>
                            <w:rFonts w:ascii="Times New Roman"/>
                            <w:sz w:val="21"/>
                          </w:rPr>
                        </w:pPr>
                        <w:r>
                          <w:rPr>
                            <w:rFonts w:ascii="Times New Roman"/>
                            <w:sz w:val="21"/>
                          </w:rPr>
                          <w:t>52.8</w:t>
                        </w:r>
                      </w:p>
                    </w:tc>
                    <w:tc>
                      <w:tcPr>
                        <w:tcW w:w="1618" w:type="dxa"/>
                      </w:tcPr>
                      <w:p>
                        <w:pPr>
                          <w:pStyle w:val="TableParagraph"/>
                          <w:spacing w:line="237" w:lineRule="exact"/>
                          <w:ind w:left="603" w:right="598"/>
                          <w:rPr>
                            <w:rFonts w:ascii="Times New Roman"/>
                            <w:sz w:val="21"/>
                          </w:rPr>
                        </w:pPr>
                        <w:r>
                          <w:rPr>
                            <w:rFonts w:ascii="Times New Roman"/>
                            <w:sz w:val="21"/>
                          </w:rPr>
                          <w:t>45.8</w:t>
                        </w:r>
                      </w:p>
                    </w:tc>
                  </w:tr>
                  <w:tr>
                    <w:trPr>
                      <w:trHeight w:val="293" w:hRule="exact"/>
                    </w:trPr>
                    <w:tc>
                      <w:tcPr>
                        <w:tcW w:w="1646" w:type="dxa"/>
                      </w:tcPr>
                      <w:p>
                        <w:pPr>
                          <w:pStyle w:val="TableParagraph"/>
                          <w:spacing w:line="271" w:lineRule="exact"/>
                          <w:ind w:left="254" w:right="252"/>
                          <w:rPr>
                            <w:sz w:val="21"/>
                          </w:rPr>
                        </w:pPr>
                        <w:r>
                          <w:rPr>
                            <w:rFonts w:ascii="Times New Roman" w:eastAsia="Times New Roman"/>
                            <w:sz w:val="21"/>
                          </w:rPr>
                          <w:t>4a </w:t>
                        </w:r>
                        <w:r>
                          <w:rPr>
                            <w:sz w:val="21"/>
                          </w:rPr>
                          <w:t>类标准值</w:t>
                        </w:r>
                      </w:p>
                    </w:tc>
                    <w:tc>
                      <w:tcPr>
                        <w:tcW w:w="1618" w:type="dxa"/>
                      </w:tcPr>
                      <w:p>
                        <w:pPr>
                          <w:pStyle w:val="TableParagraph"/>
                          <w:spacing w:before="15"/>
                          <w:ind w:left="598" w:right="598"/>
                          <w:rPr>
                            <w:rFonts w:ascii="Times New Roman"/>
                            <w:sz w:val="21"/>
                          </w:rPr>
                        </w:pPr>
                        <w:r>
                          <w:rPr>
                            <w:rFonts w:ascii="Times New Roman"/>
                            <w:sz w:val="21"/>
                          </w:rPr>
                          <w:t>70</w:t>
                        </w:r>
                      </w:p>
                    </w:tc>
                    <w:tc>
                      <w:tcPr>
                        <w:tcW w:w="1616" w:type="dxa"/>
                      </w:tcPr>
                      <w:p>
                        <w:pPr>
                          <w:pStyle w:val="TableParagraph"/>
                          <w:spacing w:before="15"/>
                          <w:ind w:left="598" w:right="598"/>
                          <w:rPr>
                            <w:rFonts w:ascii="Times New Roman"/>
                            <w:sz w:val="21"/>
                          </w:rPr>
                        </w:pPr>
                        <w:r>
                          <w:rPr>
                            <w:rFonts w:ascii="Times New Roman"/>
                            <w:sz w:val="21"/>
                          </w:rPr>
                          <w:t>55</w:t>
                        </w:r>
                      </w:p>
                    </w:tc>
                    <w:tc>
                      <w:tcPr>
                        <w:tcW w:w="1615" w:type="dxa"/>
                      </w:tcPr>
                      <w:p>
                        <w:pPr>
                          <w:pStyle w:val="TableParagraph"/>
                          <w:spacing w:before="15"/>
                          <w:ind w:left="598" w:right="598"/>
                          <w:rPr>
                            <w:rFonts w:ascii="Times New Roman"/>
                            <w:sz w:val="21"/>
                          </w:rPr>
                        </w:pPr>
                        <w:r>
                          <w:rPr>
                            <w:rFonts w:ascii="Times New Roman"/>
                            <w:sz w:val="21"/>
                          </w:rPr>
                          <w:t>70</w:t>
                        </w:r>
                      </w:p>
                    </w:tc>
                    <w:tc>
                      <w:tcPr>
                        <w:tcW w:w="1618" w:type="dxa"/>
                      </w:tcPr>
                      <w:p>
                        <w:pPr>
                          <w:pStyle w:val="TableParagraph"/>
                          <w:spacing w:before="15"/>
                          <w:ind w:left="603" w:right="598"/>
                          <w:rPr>
                            <w:rFonts w:ascii="Times New Roman"/>
                            <w:sz w:val="21"/>
                          </w:rPr>
                        </w:pPr>
                        <w:r>
                          <w:rPr>
                            <w:rFonts w:ascii="Times New Roman"/>
                            <w:sz w:val="21"/>
                          </w:rPr>
                          <w:t>55</w:t>
                        </w:r>
                      </w:p>
                    </w:tc>
                  </w:tr>
                  <w:tr>
                    <w:trPr>
                      <w:trHeight w:val="293" w:hRule="exact"/>
                    </w:trPr>
                    <w:tc>
                      <w:tcPr>
                        <w:tcW w:w="1646" w:type="dxa"/>
                      </w:tcPr>
                      <w:p>
                        <w:pPr>
                          <w:pStyle w:val="TableParagraph"/>
                          <w:spacing w:line="269" w:lineRule="exact"/>
                          <w:ind w:left="254" w:right="252"/>
                          <w:rPr>
                            <w:sz w:val="21"/>
                          </w:rPr>
                        </w:pPr>
                        <w:r>
                          <w:rPr>
                            <w:rFonts w:ascii="Times New Roman" w:eastAsia="Times New Roman"/>
                            <w:sz w:val="21"/>
                          </w:rPr>
                          <w:t>2 </w:t>
                        </w:r>
                        <w:r>
                          <w:rPr>
                            <w:sz w:val="21"/>
                          </w:rPr>
                          <w:t>类标准</w:t>
                        </w:r>
                      </w:p>
                    </w:tc>
                    <w:tc>
                      <w:tcPr>
                        <w:tcW w:w="1618" w:type="dxa"/>
                      </w:tcPr>
                      <w:p>
                        <w:pPr>
                          <w:pStyle w:val="TableParagraph"/>
                          <w:spacing w:before="12"/>
                          <w:ind w:left="598" w:right="598"/>
                          <w:rPr>
                            <w:rFonts w:ascii="Times New Roman"/>
                            <w:sz w:val="21"/>
                          </w:rPr>
                        </w:pPr>
                        <w:r>
                          <w:rPr>
                            <w:rFonts w:ascii="Times New Roman"/>
                            <w:sz w:val="21"/>
                          </w:rPr>
                          <w:t>60</w:t>
                        </w:r>
                      </w:p>
                    </w:tc>
                    <w:tc>
                      <w:tcPr>
                        <w:tcW w:w="1616" w:type="dxa"/>
                      </w:tcPr>
                      <w:p>
                        <w:pPr>
                          <w:pStyle w:val="TableParagraph"/>
                          <w:spacing w:before="12"/>
                          <w:ind w:left="598" w:right="598"/>
                          <w:rPr>
                            <w:rFonts w:ascii="Times New Roman"/>
                            <w:sz w:val="21"/>
                          </w:rPr>
                        </w:pPr>
                        <w:r>
                          <w:rPr>
                            <w:rFonts w:ascii="Times New Roman"/>
                            <w:sz w:val="21"/>
                          </w:rPr>
                          <w:t>50</w:t>
                        </w:r>
                      </w:p>
                    </w:tc>
                    <w:tc>
                      <w:tcPr>
                        <w:tcW w:w="1615" w:type="dxa"/>
                      </w:tcPr>
                      <w:p>
                        <w:pPr>
                          <w:pStyle w:val="TableParagraph"/>
                          <w:spacing w:before="12"/>
                          <w:ind w:left="598" w:right="598"/>
                          <w:rPr>
                            <w:rFonts w:ascii="Times New Roman"/>
                            <w:sz w:val="21"/>
                          </w:rPr>
                        </w:pPr>
                        <w:r>
                          <w:rPr>
                            <w:rFonts w:ascii="Times New Roman"/>
                            <w:sz w:val="21"/>
                          </w:rPr>
                          <w:t>60</w:t>
                        </w:r>
                      </w:p>
                    </w:tc>
                    <w:tc>
                      <w:tcPr>
                        <w:tcW w:w="1618" w:type="dxa"/>
                      </w:tcPr>
                      <w:p>
                        <w:pPr>
                          <w:pStyle w:val="TableParagraph"/>
                          <w:spacing w:before="12"/>
                          <w:ind w:left="603" w:right="598"/>
                          <w:rPr>
                            <w:rFonts w:ascii="Times New Roman"/>
                            <w:sz w:val="21"/>
                          </w:rPr>
                        </w:pPr>
                        <w:r>
                          <w:rPr>
                            <w:rFonts w:ascii="Times New Roman"/>
                            <w:sz w:val="21"/>
                          </w:rPr>
                          <w:t>50</w:t>
                        </w:r>
                      </w:p>
                    </w:tc>
                  </w:tr>
                </w:tbl>
                <w:p>
                  <w:pPr>
                    <w:pStyle w:val="BodyText"/>
                  </w:pPr>
                </w:p>
              </w:txbxContent>
            </v:textbox>
            <w10:wrap type="none"/>
          </v:shape>
        </w:pict>
      </w:r>
      <w:r>
        <w:rPr>
          <w:rFonts w:ascii="Times New Roman"/>
          <w:sz w:val="21"/>
        </w:rPr>
        <w:t>2017.3.13</w:t>
      </w:r>
    </w:p>
    <w:p>
      <w:pPr>
        <w:spacing w:line="271" w:lineRule="exact" w:before="0"/>
        <w:ind w:left="2477" w:right="0" w:firstLine="0"/>
        <w:jc w:val="left"/>
        <w:rPr>
          <w:sz w:val="21"/>
        </w:rPr>
      </w:pPr>
      <w:r>
        <w:rPr>
          <w:sz w:val="21"/>
        </w:rPr>
        <w:t>昼间</w:t>
      </w:r>
    </w:p>
    <w:p>
      <w:pPr>
        <w:pStyle w:val="BodyText"/>
        <w:rPr>
          <w:sz w:val="20"/>
        </w:rPr>
      </w:pPr>
      <w:r>
        <w:rPr/>
        <w:br w:type="column"/>
      </w:r>
      <w:r>
        <w:rPr>
          <w:sz w:val="20"/>
        </w:rPr>
      </w:r>
    </w:p>
    <w:p>
      <w:pPr>
        <w:tabs>
          <w:tab w:pos="1750" w:val="left" w:leader="none"/>
        </w:tabs>
        <w:spacing w:before="161"/>
        <w:ind w:left="135" w:right="0" w:firstLine="0"/>
        <w:jc w:val="left"/>
        <w:rPr>
          <w:sz w:val="21"/>
        </w:rPr>
      </w:pPr>
      <w:r>
        <w:rPr>
          <w:sz w:val="21"/>
        </w:rPr>
        <w:t>夜间</w:t>
        <w:tab/>
        <w:t>昼间</w:t>
      </w:r>
    </w:p>
    <w:p>
      <w:pPr>
        <w:spacing w:before="179"/>
        <w:ind w:left="135" w:right="0" w:firstLine="0"/>
        <w:jc w:val="left"/>
        <w:rPr>
          <w:rFonts w:ascii="Times New Roman"/>
          <w:sz w:val="21"/>
        </w:rPr>
      </w:pPr>
      <w:r>
        <w:rPr/>
        <w:br w:type="column"/>
      </w:r>
      <w:r>
        <w:rPr>
          <w:rFonts w:ascii="Times New Roman"/>
          <w:sz w:val="21"/>
        </w:rPr>
        <w:t>2017.3.14</w:t>
      </w:r>
    </w:p>
    <w:p>
      <w:pPr>
        <w:spacing w:before="1"/>
        <w:ind w:left="1138" w:right="900" w:firstLine="0"/>
        <w:jc w:val="center"/>
        <w:rPr>
          <w:sz w:val="21"/>
        </w:rPr>
      </w:pPr>
      <w:r>
        <w:rPr>
          <w:sz w:val="21"/>
        </w:rPr>
        <w:t>夜间</w:t>
      </w:r>
    </w:p>
    <w:p>
      <w:pPr>
        <w:spacing w:after="0"/>
        <w:jc w:val="center"/>
        <w:rPr>
          <w:sz w:val="21"/>
        </w:rPr>
        <w:sectPr>
          <w:type w:val="continuous"/>
          <w:pgSz w:w="11910" w:h="16850"/>
          <w:pgMar w:top="1600" w:bottom="280" w:left="1620" w:right="1620"/>
          <w:cols w:num="3" w:equalWidth="0">
            <w:col w:w="3918" w:space="40"/>
            <w:col w:w="2174" w:space="40"/>
            <w:col w:w="2498"/>
          </w:cols>
        </w:sectPr>
      </w:pPr>
    </w:p>
    <w:p>
      <w:pPr>
        <w:pStyle w:val="BodyText"/>
        <w:rPr>
          <w:sz w:val="20"/>
        </w:rPr>
      </w:pPr>
      <w:r>
        <w:rPr/>
        <w:pict>
          <v:group style="position:absolute;margin-left:86.528999pt;margin-top:71.624977pt;width:422.4pt;height:698.95pt;mso-position-horizontal-relative:page;mso-position-vertical-relative:page;z-index:-198616"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9"/>
        </w:rPr>
      </w:pPr>
    </w:p>
    <w:p>
      <w:pPr>
        <w:pStyle w:val="BodyText"/>
        <w:spacing w:before="34"/>
        <w:ind w:left="706"/>
      </w:pPr>
      <w:r>
        <w:rPr/>
        <w:t>由表</w:t>
      </w:r>
      <w:r>
        <w:rPr>
          <w:rFonts w:ascii="Times New Roman" w:eastAsia="Times New Roman"/>
        </w:rPr>
        <w:t>3-7</w:t>
      </w:r>
      <w:r>
        <w:rPr/>
        <w:t>可知，各监测点位昼间、夜间值均可以达到《声环境质量标准》（</w:t>
      </w:r>
    </w:p>
    <w:p>
      <w:pPr>
        <w:spacing w:line="338" w:lineRule="auto" w:before="133"/>
        <w:ind w:left="708" w:right="2251" w:hanging="483"/>
        <w:jc w:val="left"/>
        <w:rPr>
          <w:b/>
          <w:sz w:val="24"/>
        </w:rPr>
      </w:pPr>
      <w:r>
        <w:rPr>
          <w:rFonts w:ascii="Times New Roman" w:eastAsia="Times New Roman"/>
          <w:sz w:val="24"/>
        </w:rPr>
        <w:t>GB3096-2008</w:t>
      </w:r>
      <w:r>
        <w:rPr>
          <w:sz w:val="24"/>
        </w:rPr>
        <w:t>）中相应标准，项目所在地声环境质量良好。</w:t>
      </w:r>
      <w:r>
        <w:rPr>
          <w:b/>
          <w:w w:val="95"/>
          <w:sz w:val="24"/>
        </w:rPr>
        <w:t>四、生态环境状况</w:t>
      </w:r>
    </w:p>
    <w:p>
      <w:pPr>
        <w:pStyle w:val="BodyText"/>
        <w:spacing w:line="357" w:lineRule="auto" w:before="53"/>
        <w:ind w:left="226" w:right="226" w:firstLine="479"/>
        <w:jc w:val="both"/>
      </w:pPr>
      <w:r>
        <w:rPr/>
        <w:t>项目所在地属于开江新宁镇，人类活动频繁，自然生态环境受人类活动干扰很大，自然植被已逐渐被人工植被所替代，涉及区域内无珍稀动、植物，也无古稀树木和保护树种，因此区域生态系统敏感程度低。</w:t>
      </w:r>
    </w:p>
    <w:p>
      <w:pPr>
        <w:spacing w:after="0" w:line="357" w:lineRule="auto"/>
        <w:jc w:val="both"/>
        <w:sectPr>
          <w:type w:val="continuous"/>
          <w:pgSz w:w="11910" w:h="16850"/>
          <w:pgMar w:top="1600" w:bottom="280" w:left="1620" w:right="1620"/>
        </w:sectPr>
      </w:pPr>
    </w:p>
    <w:p>
      <w:pPr>
        <w:spacing w:line="352" w:lineRule="exact" w:before="0"/>
        <w:ind w:left="226" w:right="0" w:firstLine="0"/>
        <w:jc w:val="left"/>
        <w:rPr>
          <w:rFonts w:ascii="黑体" w:eastAsia="黑体" w:hint="eastAsia"/>
          <w:b/>
          <w:sz w:val="28"/>
        </w:rPr>
      </w:pPr>
      <w:r>
        <w:rPr/>
        <w:pict>
          <v:group style="position:absolute;margin-left:86.528999pt;margin-top:71.624977pt;width:422.4pt;height:698.95pt;mso-position-horizontal-relative:page;mso-position-vertical-relative:page;z-index:-198568"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rFonts w:ascii="黑体" w:eastAsia="黑体" w:hint="eastAsia"/>
          <w:b/>
          <w:w w:val="95"/>
          <w:sz w:val="28"/>
          <w:shd w:fill="E4E4E4" w:color="auto" w:val="clear"/>
        </w:rPr>
        <w:t>主要环境保护目标(列出名单及保护级别)：</w:t>
      </w:r>
    </w:p>
    <w:p>
      <w:pPr>
        <w:pStyle w:val="Heading3"/>
        <w:spacing w:before="186"/>
        <w:ind w:left="708"/>
      </w:pPr>
      <w:r>
        <w:rPr/>
        <w:t>1、项目外环境关系</w:t>
      </w:r>
      <w:r>
        <w:rPr>
          <w:w w:val="99"/>
        </w:rPr>
        <w:t> </w:t>
      </w:r>
    </w:p>
    <w:p>
      <w:pPr>
        <w:pStyle w:val="BodyText"/>
        <w:spacing w:line="345" w:lineRule="auto" w:before="153"/>
        <w:ind w:left="226" w:right="223" w:firstLine="479"/>
        <w:jc w:val="both"/>
      </w:pPr>
      <w:r>
        <w:rPr>
          <w:spacing w:val="-12"/>
        </w:rPr>
        <w:t>本项目位于开江县新宁镇，经现场调查，本项目沿线主要分布零散住户</w:t>
      </w:r>
      <w:r>
        <w:rPr/>
        <w:t>（已</w:t>
      </w:r>
      <w:r>
        <w:rPr>
          <w:spacing w:val="-13"/>
        </w:rPr>
        <w:t>建，住宅，距离约 </w:t>
      </w:r>
      <w:r>
        <w:rPr>
          <w:rFonts w:ascii="Times New Roman" w:eastAsia="Times New Roman"/>
        </w:rPr>
        <w:t>20</w:t>
      </w:r>
      <w:r>
        <w:rPr>
          <w:rFonts w:ascii="Times New Roman" w:eastAsia="Times New Roman"/>
          <w:spacing w:val="2"/>
        </w:rPr>
        <w:t>m</w:t>
      </w:r>
      <w:r>
        <w:rPr>
          <w:spacing w:val="-120"/>
        </w:rPr>
        <w:t>）</w:t>
      </w:r>
      <w:r>
        <w:rPr>
          <w:spacing w:val="-7"/>
        </w:rPr>
        <w:t>，其余用地均为绿地和待建空地</w:t>
      </w:r>
      <w:r>
        <w:rPr/>
        <w:t>（</w:t>
      </w:r>
      <w:r>
        <w:rPr>
          <w:spacing w:val="-1"/>
        </w:rPr>
        <w:t>主要为规划的二类住宅用地</w:t>
      </w:r>
      <w:r>
        <w:rPr/>
        <w:t>）。</w:t>
      </w:r>
    </w:p>
    <w:p>
      <w:pPr>
        <w:pStyle w:val="BodyText"/>
        <w:spacing w:line="357" w:lineRule="auto" w:before="45"/>
        <w:ind w:left="226" w:right="222" w:firstLine="479"/>
        <w:jc w:val="both"/>
      </w:pPr>
      <w:r>
        <w:rPr>
          <w:spacing w:val="-5"/>
        </w:rPr>
        <w:t>根据《四川省达州市开江县城市总体规划</w:t>
      </w:r>
      <w:r>
        <w:rPr/>
        <w:t>（2013-2030）</w:t>
      </w:r>
      <w:r>
        <w:rPr>
          <w:spacing w:val="-5"/>
        </w:rPr>
        <w:t>》，本项目所在地</w:t>
      </w:r>
      <w:r>
        <w:rPr/>
        <w:t>周边主要分布二类住宅用地、商业用地等，项目区域内人类活动较频繁，项目沿线存在的环境制约因素较少。施工原材料全部由外运至施工现场，施工期间对敏感点的影响主要包括扬尘、噪声等的影响，主要影响对象为住户生活、工作人员办公，但根据环境影响分析，本项目施工期及营运期间在做好自身的环境污染防范措施，并落实各项污染治理方案，本项目对周边环境造成的影响较</w:t>
      </w:r>
      <w:r>
        <w:rPr>
          <w:spacing w:val="-5"/>
        </w:rPr>
        <w:t>小。外环境关系图见附图 </w:t>
      </w:r>
      <w:r>
        <w:rPr>
          <w:rFonts w:ascii="Times New Roman" w:eastAsia="Times New Roman"/>
        </w:rPr>
        <w:t>2</w:t>
      </w:r>
      <w:r>
        <w:rPr/>
        <w:t>。</w:t>
      </w:r>
    </w:p>
    <w:p>
      <w:pPr>
        <w:pStyle w:val="Heading3"/>
        <w:spacing w:before="2"/>
        <w:ind w:left="708"/>
      </w:pPr>
      <w:r>
        <w:rPr>
          <w:w w:val="95"/>
        </w:rPr>
        <w:t>2、主要环境保护目标</w:t>
      </w:r>
      <w:r>
        <w:rPr>
          <w:w w:val="99"/>
        </w:rPr>
        <w:t> </w:t>
      </w:r>
    </w:p>
    <w:p>
      <w:pPr>
        <w:pStyle w:val="BodyText"/>
        <w:spacing w:line="336" w:lineRule="auto" w:before="153"/>
        <w:ind w:left="226" w:right="211" w:firstLine="479"/>
      </w:pPr>
      <w:r>
        <w:rPr>
          <w:spacing w:val="-1"/>
        </w:rPr>
        <w:t>本项目附近区域 </w:t>
      </w:r>
      <w:r>
        <w:rPr>
          <w:rFonts w:ascii="Times New Roman" w:eastAsia="Times New Roman"/>
        </w:rPr>
        <w:t>500m</w:t>
      </w:r>
      <w:r>
        <w:rPr>
          <w:rFonts w:ascii="Times New Roman" w:eastAsia="Times New Roman"/>
          <w:spacing w:val="55"/>
        </w:rPr>
        <w:t> </w:t>
      </w:r>
      <w:r>
        <w:rPr/>
        <w:t>内无名胜古迹、风景名胜区等文物保护和生态保护敏感点等环境保护目标，因此本项目确定环境保护目标为：</w:t>
      </w:r>
    </w:p>
    <w:p>
      <w:pPr>
        <w:pStyle w:val="BodyText"/>
        <w:spacing w:before="58"/>
        <w:ind w:left="706"/>
      </w:pPr>
      <w:r>
        <w:rPr>
          <w:rFonts w:ascii="Times New Roman" w:eastAsia="Times New Roman"/>
        </w:rPr>
        <w:t>1</w:t>
      </w:r>
      <w:r>
        <w:rPr/>
        <w:t>、环境大气</w:t>
      </w:r>
    </w:p>
    <w:p>
      <w:pPr>
        <w:pStyle w:val="BodyText"/>
        <w:spacing w:line="338" w:lineRule="auto" w:before="133"/>
        <w:ind w:left="226" w:right="220" w:firstLine="479"/>
      </w:pPr>
      <w:r>
        <w:rPr>
          <w:spacing w:val="-1"/>
        </w:rPr>
        <w:t>项目运营期大气环境保护目标为道路两侧 </w:t>
      </w:r>
      <w:r>
        <w:rPr>
          <w:rFonts w:ascii="Times New Roman" w:eastAsia="Times New Roman"/>
        </w:rPr>
        <w:t>200m</w:t>
      </w:r>
      <w:r>
        <w:rPr>
          <w:rFonts w:ascii="Times New Roman" w:eastAsia="Times New Roman"/>
          <w:spacing w:val="53"/>
        </w:rPr>
        <w:t> </w:t>
      </w:r>
      <w:r>
        <w:rPr/>
        <w:t>范围内大气环境，环境空</w:t>
      </w:r>
      <w:r>
        <w:rPr>
          <w:spacing w:val="-10"/>
          <w:w w:val="95"/>
        </w:rPr>
        <w:t>气应符合《环境空气质量标准》</w:t>
      </w:r>
      <w:r>
        <w:rPr>
          <w:w w:val="95"/>
        </w:rPr>
        <w:t>（</w:t>
      </w:r>
      <w:r>
        <w:rPr>
          <w:rFonts w:ascii="Times New Roman" w:eastAsia="Times New Roman"/>
          <w:w w:val="95"/>
        </w:rPr>
        <w:t>GB3095-2012</w:t>
      </w:r>
      <w:r>
        <w:rPr>
          <w:w w:val="95"/>
        </w:rPr>
        <w:t>）二级标准要求。</w:t>
      </w:r>
    </w:p>
    <w:p>
      <w:pPr>
        <w:pStyle w:val="BodyText"/>
        <w:spacing w:before="24"/>
        <w:ind w:left="706"/>
      </w:pPr>
      <w:r>
        <w:rPr>
          <w:rFonts w:ascii="Times New Roman" w:eastAsia="Times New Roman"/>
        </w:rPr>
        <w:t>2</w:t>
      </w:r>
      <w:r>
        <w:rPr/>
        <w:t>、地表水</w:t>
      </w:r>
    </w:p>
    <w:p>
      <w:pPr>
        <w:pStyle w:val="BodyText"/>
        <w:spacing w:line="345" w:lineRule="auto" w:before="136"/>
        <w:ind w:left="226" w:right="65" w:firstLine="479"/>
      </w:pPr>
      <w:r>
        <w:rPr>
          <w:spacing w:val="-5"/>
        </w:rPr>
        <w:t>本项目地表水环境执行《地表水环境质量标准</w:t>
      </w:r>
      <w:r>
        <w:rPr>
          <w:spacing w:val="-161"/>
        </w:rPr>
        <w:t>》</w:t>
      </w:r>
      <w:r>
        <w:rPr>
          <w:spacing w:val="-3"/>
        </w:rPr>
        <w:t>（</w:t>
      </w:r>
      <w:r>
        <w:rPr>
          <w:rFonts w:ascii="Times New Roman" w:hAnsi="Times New Roman" w:eastAsia="Times New Roman"/>
          <w:spacing w:val="-3"/>
        </w:rPr>
        <w:t>GB3838-2002</w:t>
      </w:r>
      <w:r>
        <w:rPr>
          <w:spacing w:val="-3"/>
        </w:rPr>
        <w:t>）Ⅲ</w:t>
      </w:r>
      <w:r>
        <w:rPr/>
        <w:t>类标准， 保证项目营运期间区域地表水体新宁河质满足《地表水环境质量标准》Ⅲ类标准。</w:t>
      </w:r>
    </w:p>
    <w:p>
      <w:pPr>
        <w:pStyle w:val="BodyText"/>
        <w:spacing w:before="46"/>
        <w:ind w:left="706"/>
      </w:pPr>
      <w:r>
        <w:rPr>
          <w:rFonts w:ascii="Times New Roman" w:eastAsia="Times New Roman"/>
        </w:rPr>
        <w:t>3</w:t>
      </w:r>
      <w:r>
        <w:rPr/>
        <w:t>、声环境</w:t>
      </w:r>
    </w:p>
    <w:p>
      <w:pPr>
        <w:pStyle w:val="BodyText"/>
        <w:spacing w:line="336" w:lineRule="auto" w:before="135"/>
        <w:ind w:left="226" w:right="219" w:firstLine="479"/>
      </w:pPr>
      <w:r>
        <w:rPr>
          <w:spacing w:val="-1"/>
        </w:rPr>
        <w:t>声环境保护目标为以道路两侧 </w:t>
      </w:r>
      <w:r>
        <w:rPr>
          <w:rFonts w:ascii="Times New Roman" w:eastAsia="Times New Roman"/>
        </w:rPr>
        <w:t>200m</w:t>
      </w:r>
      <w:r>
        <w:rPr>
          <w:rFonts w:ascii="Times New Roman" w:eastAsia="Times New Roman"/>
          <w:spacing w:val="53"/>
        </w:rPr>
        <w:t> </w:t>
      </w:r>
      <w:r>
        <w:rPr/>
        <w:t>范围内的噪声敏感区，按区域的使用功能特点和环境质量要求，本项目声环境功能区分为以下两种类型：</w:t>
      </w:r>
    </w:p>
    <w:p>
      <w:pPr>
        <w:pStyle w:val="BodyText"/>
        <w:spacing w:line="355" w:lineRule="auto" w:before="57"/>
        <w:ind w:left="226" w:right="254"/>
      </w:pPr>
      <w:r>
        <w:rPr/>
        <w:t>      </w:t>
      </w:r>
      <w:r>
        <w:rPr>
          <w:b/>
        </w:rPr>
        <w:t>2 类声环境功能区：</w:t>
      </w:r>
      <w:r>
        <w:rPr/>
        <w:t>指以商业金融、集市贸易为主要功能，或者居住、商业、工业混杂，需要维护住宅安静的区域。</w:t>
      </w:r>
    </w:p>
    <w:p>
      <w:pPr>
        <w:spacing w:before="38"/>
        <w:ind w:left="226" w:right="0" w:firstLine="0"/>
        <w:jc w:val="left"/>
        <w:rPr>
          <w:sz w:val="24"/>
        </w:rPr>
      </w:pPr>
      <w:r>
        <w:rPr>
          <w:sz w:val="24"/>
        </w:rPr>
        <w:t>      </w:t>
      </w:r>
      <w:r>
        <w:rPr>
          <w:b/>
          <w:sz w:val="24"/>
        </w:rPr>
        <w:t>4 类声环境功能区：</w:t>
      </w:r>
      <w:r>
        <w:rPr>
          <w:sz w:val="24"/>
        </w:rPr>
        <w:t>指交通干线两侧一定区域之内，需要防止交通噪声</w:t>
      </w:r>
    </w:p>
    <w:p>
      <w:pPr>
        <w:pStyle w:val="BodyText"/>
        <w:spacing w:line="460" w:lineRule="atLeast" w:before="8"/>
        <w:ind w:left="226" w:right="220"/>
      </w:pPr>
      <w:r>
        <w:rPr>
          <w:spacing w:val="-5"/>
        </w:rPr>
        <w:t>对周围环境产生严重影响的区域，包括 </w:t>
      </w:r>
      <w:r>
        <w:rPr/>
        <w:t>4a</w:t>
      </w:r>
      <w:r>
        <w:rPr>
          <w:spacing w:val="-30"/>
        </w:rPr>
        <w:t> 类和 </w:t>
      </w:r>
      <w:r>
        <w:rPr/>
        <w:t>4b</w:t>
      </w:r>
      <w:r>
        <w:rPr>
          <w:spacing w:val="-9"/>
        </w:rPr>
        <w:t> 类两种类型。</w:t>
      </w:r>
      <w:r>
        <w:rPr/>
        <w:t>4a</w:t>
      </w:r>
      <w:r>
        <w:rPr>
          <w:spacing w:val="-10"/>
        </w:rPr>
        <w:t> 类为高速公路、一级公路、二级公路、城市快速路、城市主干路、城市次干路、城市轨道</w:t>
      </w:r>
    </w:p>
    <w:p>
      <w:pPr>
        <w:spacing w:after="0" w:line="460" w:lineRule="atLeast"/>
        <w:sectPr>
          <w:pgSz w:w="11910" w:h="16850"/>
          <w:pgMar w:header="0" w:footer="1141" w:top="1420" w:bottom="1400" w:left="1620" w:right="1620"/>
        </w:sectPr>
      </w:pPr>
    </w:p>
    <w:p>
      <w:pPr>
        <w:pStyle w:val="BodyText"/>
        <w:spacing w:line="571" w:lineRule="auto" w:before="13"/>
        <w:ind w:left="706" w:right="1144" w:hanging="480"/>
      </w:pPr>
      <w:r>
        <w:rPr/>
        <w:pict>
          <v:group style="position:absolute;margin-left:86.168999pt;margin-top:71.624977pt;width:423.15pt;height:695.45pt;mso-position-horizontal-relative:page;mso-position-vertical-relative:page;z-index:-198544" coordorigin="1723,1432" coordsize="8463,13909">
            <v:line style="position:absolute" from="1745,1447" to="10163,1447" stroked="true" strokeweight=".72pt" strokecolor="#000000">
              <v:stroke dashstyle="solid"/>
            </v:line>
            <v:line style="position:absolute" from="1738,1440" to="1738,15326" stroked="true" strokeweight=".72pt" strokecolor="#000000">
              <v:stroke dashstyle="solid"/>
            </v:line>
            <v:line style="position:absolute" from="1731,15334" to="1745,15334" stroked="true" strokeweight=".71997pt" strokecolor="#000000">
              <v:stroke dashstyle="solid"/>
            </v:line>
            <v:line style="position:absolute" from="1731,15334" to="1745,15334" stroked="true" strokeweight=".71997pt" strokecolor="#000000">
              <v:stroke dashstyle="solid"/>
            </v:line>
            <v:line style="position:absolute" from="1745,15334" to="10163,15334" stroked="true" strokeweight=".71997pt" strokecolor="#000000">
              <v:stroke dashstyle="solid"/>
            </v:line>
            <v:line style="position:absolute" from="10171,1440" to="10171,15326" stroked="true" strokeweight=".72pt" strokecolor="#000000">
              <v:stroke dashstyle="solid"/>
            </v:line>
            <v:line style="position:absolute" from="10164,15334" to="10178,15334" stroked="true" strokeweight=".71997pt" strokecolor="#000000">
              <v:stroke dashstyle="solid"/>
            </v:line>
            <v:line style="position:absolute" from="10164,15334" to="10178,15334" stroked="true" strokeweight=".71997pt" strokecolor="#000000">
              <v:stroke dashstyle="solid"/>
            </v:line>
            <w10:wrap type="none"/>
          </v:group>
        </w:pict>
      </w:r>
      <w:r>
        <w:rPr/>
        <w:t>交通（地面段）、内河航道两侧区域；4b 类为铁路干线两侧区域。</w:t>
      </w:r>
      <w:hyperlink r:id="rId8">
        <w:r>
          <w:rPr/>
          <w:t>根据声环境功能区划分技术规范</w:t>
        </w:r>
        <w:r>
          <w:rPr>
            <w:rFonts w:ascii="Times New Roman" w:hAnsi="Times New Roman" w:eastAsia="Times New Roman"/>
          </w:rPr>
          <w:t>(GB/T 15190–2014)</w:t>
        </w:r>
      </w:hyperlink>
      <w:r>
        <w:rPr/>
        <w:t>：</w:t>
      </w:r>
    </w:p>
    <w:p>
      <w:pPr>
        <w:pStyle w:val="BodyText"/>
        <w:spacing w:line="336" w:lineRule="auto" w:before="49"/>
        <w:ind w:left="226" w:firstLine="479"/>
      </w:pPr>
      <w:r>
        <w:rPr>
          <w:rFonts w:ascii="Times New Roman" w:eastAsia="Times New Roman"/>
        </w:rPr>
        <w:t>1.</w:t>
      </w:r>
      <w:r>
        <w:rPr/>
        <w:t>当临街建筑以高于三层楼房以上</w:t>
      </w:r>
      <w:r>
        <w:rPr>
          <w:rFonts w:ascii="Times New Roman" w:eastAsia="Times New Roman"/>
        </w:rPr>
        <w:t>(</w:t>
      </w:r>
      <w:r>
        <w:rPr/>
        <w:t>含三层</w:t>
      </w:r>
      <w:r>
        <w:rPr>
          <w:rFonts w:ascii="Times New Roman" w:eastAsia="Times New Roman"/>
        </w:rPr>
        <w:t>)</w:t>
      </w:r>
      <w:r>
        <w:rPr/>
        <w:t>时，将临街建筑面向交通干线一侧至交通干线边界线的区域定为 </w:t>
      </w:r>
      <w:r>
        <w:rPr>
          <w:rFonts w:ascii="Times New Roman" w:eastAsia="Times New Roman"/>
        </w:rPr>
        <w:t>4a </w:t>
      </w:r>
      <w:r>
        <w:rPr/>
        <w:t>类声环境功能区。</w:t>
      </w:r>
    </w:p>
    <w:p>
      <w:pPr>
        <w:pStyle w:val="BodyText"/>
        <w:spacing w:before="6"/>
        <w:rPr>
          <w:sz w:val="23"/>
        </w:rPr>
      </w:pPr>
    </w:p>
    <w:p>
      <w:pPr>
        <w:pStyle w:val="BodyText"/>
        <w:spacing w:line="338" w:lineRule="auto"/>
        <w:ind w:left="226" w:right="218" w:firstLine="479"/>
      </w:pPr>
      <w:r>
        <w:rPr>
          <w:rFonts w:ascii="Times New Roman" w:eastAsia="Times New Roman"/>
        </w:rPr>
        <w:t>2</w:t>
      </w:r>
      <w:r>
        <w:rPr/>
        <w:t>．将交通干线边界线外一定距离内的区域划分为 </w:t>
      </w:r>
      <w:r>
        <w:rPr>
          <w:rFonts w:ascii="Times New Roman" w:eastAsia="Times New Roman"/>
        </w:rPr>
        <w:t>4a </w:t>
      </w:r>
      <w:r>
        <w:rPr/>
        <w:t>类声环境功能区。距离的确定方法如下：</w:t>
      </w:r>
    </w:p>
    <w:p>
      <w:pPr>
        <w:pStyle w:val="BodyText"/>
        <w:spacing w:before="6"/>
        <w:rPr>
          <w:sz w:val="25"/>
        </w:rPr>
      </w:pPr>
    </w:p>
    <w:p>
      <w:pPr>
        <w:pStyle w:val="BodyText"/>
        <w:spacing w:line="338" w:lineRule="auto"/>
        <w:ind w:left="706" w:right="2711"/>
        <w:jc w:val="both"/>
      </w:pPr>
      <w:r>
        <w:rPr>
          <w:spacing w:val="-10"/>
        </w:rPr>
        <w:t>相邻区域为 </w:t>
      </w:r>
      <w:r>
        <w:rPr>
          <w:rFonts w:ascii="Times New Roman" w:hAnsi="Times New Roman" w:eastAsia="Times New Roman"/>
        </w:rPr>
        <w:t>1 </w:t>
      </w:r>
      <w:r>
        <w:rPr>
          <w:spacing w:val="-5"/>
        </w:rPr>
        <w:t>类标准适用区域，距离为 </w:t>
      </w:r>
      <w:r>
        <w:rPr>
          <w:rFonts w:ascii="Times New Roman" w:hAnsi="Times New Roman" w:eastAsia="Times New Roman"/>
        </w:rPr>
        <w:t>45m±5m</w:t>
      </w:r>
      <w:r>
        <w:rPr/>
        <w:t>； </w:t>
      </w:r>
      <w:r>
        <w:rPr>
          <w:spacing w:val="-10"/>
        </w:rPr>
        <w:t>相邻区域为 </w:t>
      </w:r>
      <w:r>
        <w:rPr>
          <w:rFonts w:ascii="Times New Roman" w:hAnsi="Times New Roman" w:eastAsia="Times New Roman"/>
        </w:rPr>
        <w:t>2 </w:t>
      </w:r>
      <w:r>
        <w:rPr>
          <w:spacing w:val="-5"/>
        </w:rPr>
        <w:t>类标准适用区域，距离为 </w:t>
      </w:r>
      <w:r>
        <w:rPr>
          <w:rFonts w:ascii="Times New Roman" w:hAnsi="Times New Roman" w:eastAsia="Times New Roman"/>
        </w:rPr>
        <w:t>30m±5m</w:t>
      </w:r>
      <w:r>
        <w:rPr/>
        <w:t>； </w:t>
      </w:r>
      <w:r>
        <w:rPr>
          <w:spacing w:val="-10"/>
        </w:rPr>
        <w:t>相邻区域为 </w:t>
      </w:r>
      <w:r>
        <w:rPr>
          <w:rFonts w:ascii="Times New Roman" w:hAnsi="Times New Roman" w:eastAsia="Times New Roman"/>
        </w:rPr>
        <w:t>3 </w:t>
      </w:r>
      <w:r>
        <w:rPr>
          <w:spacing w:val="-5"/>
        </w:rPr>
        <w:t>类标准适用区域，距离为 </w:t>
      </w:r>
      <w:r>
        <w:rPr>
          <w:rFonts w:ascii="Times New Roman" w:hAnsi="Times New Roman" w:eastAsia="Times New Roman"/>
        </w:rPr>
        <w:t>20m±5m</w:t>
      </w:r>
      <w:r>
        <w:rPr/>
        <w:t>。</w:t>
      </w:r>
    </w:p>
    <w:p>
      <w:pPr>
        <w:pStyle w:val="BodyText"/>
        <w:spacing w:before="26"/>
        <w:ind w:left="706"/>
      </w:pPr>
      <w:r>
        <w:rPr/>
        <w:t>项目所在地声学环境质量应符合《声环境质量标准》</w:t>
      </w:r>
      <w:r>
        <w:rPr>
          <w:rFonts w:ascii="Times New Roman" w:eastAsia="Times New Roman"/>
        </w:rPr>
        <w:t>(GB3096-2008)2 </w:t>
      </w:r>
      <w:r>
        <w:rPr/>
        <w:t>类、</w:t>
      </w:r>
    </w:p>
    <w:p>
      <w:pPr>
        <w:pStyle w:val="BodyText"/>
        <w:spacing w:before="133"/>
        <w:ind w:left="226"/>
        <w:rPr>
          <w:b/>
        </w:rPr>
      </w:pPr>
      <w:r>
        <w:rPr>
          <w:rFonts w:ascii="Times New Roman" w:eastAsia="Times New Roman"/>
        </w:rPr>
        <w:t>4a </w:t>
      </w:r>
      <w:r>
        <w:rPr/>
        <w:t>标准要求。</w:t>
      </w:r>
      <w:r>
        <w:rPr>
          <w:b/>
          <w:w w:val="99"/>
        </w:rPr>
        <w:t> </w:t>
      </w:r>
    </w:p>
    <w:p>
      <w:pPr>
        <w:pStyle w:val="BodyText"/>
        <w:spacing w:line="355" w:lineRule="auto" w:before="135"/>
        <w:ind w:left="226" w:right="220" w:firstLine="479"/>
      </w:pPr>
      <w:r>
        <w:rPr/>
        <w:t>根据区域环境功能特征及建设项目地理位置和性质，确定本项目施工期及竣工营运后的环境保护目标，详见表</w:t>
      </w:r>
      <w:r>
        <w:rPr>
          <w:rFonts w:ascii="Times New Roman" w:eastAsia="Times New Roman"/>
        </w:rPr>
        <w:t>3-8</w:t>
      </w:r>
      <w:r>
        <w:rPr/>
        <w:t>。</w:t>
      </w:r>
    </w:p>
    <w:p>
      <w:pPr>
        <w:pStyle w:val="Heading3"/>
        <w:tabs>
          <w:tab w:pos="3437" w:val="left" w:leader="none"/>
        </w:tabs>
        <w:spacing w:before="7"/>
        <w:ind w:left="2576"/>
      </w:pPr>
      <w:r>
        <w:rPr/>
        <w:t>表</w:t>
      </w:r>
      <w:r>
        <w:rPr>
          <w:spacing w:val="-60"/>
        </w:rPr>
        <w:t> </w:t>
      </w:r>
      <w:r>
        <w:rPr>
          <w:rFonts w:ascii="Times New Roman" w:eastAsia="Times New Roman"/>
        </w:rPr>
        <w:t>3-8</w:t>
        <w:tab/>
      </w:r>
      <w:r>
        <w:rPr>
          <w:w w:val="95"/>
        </w:rPr>
        <w:t>项目主要保护目标一览表</w:t>
      </w:r>
    </w:p>
    <w:p>
      <w:pPr>
        <w:pStyle w:val="BodyText"/>
        <w:spacing w:before="2" w:after="1"/>
        <w:rPr>
          <w:b/>
          <w:sz w:val="13"/>
        </w:rPr>
      </w:pPr>
    </w:p>
    <w:tbl>
      <w:tblPr>
        <w:tblW w:w="0" w:type="auto"/>
        <w:jc w:val="lef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0"/>
        <w:gridCol w:w="1268"/>
        <w:gridCol w:w="1435"/>
        <w:gridCol w:w="953"/>
        <w:gridCol w:w="3589"/>
      </w:tblGrid>
      <w:tr>
        <w:trPr>
          <w:trHeight w:val="554" w:hRule="exact"/>
        </w:trPr>
        <w:tc>
          <w:tcPr>
            <w:tcW w:w="960" w:type="dxa"/>
          </w:tcPr>
          <w:p>
            <w:pPr>
              <w:pStyle w:val="TableParagraph"/>
              <w:spacing w:line="241" w:lineRule="exact"/>
              <w:ind w:left="140" w:right="140"/>
              <w:rPr>
                <w:sz w:val="21"/>
              </w:rPr>
            </w:pPr>
            <w:r>
              <w:rPr>
                <w:sz w:val="21"/>
              </w:rPr>
              <w:t>环境要</w:t>
            </w:r>
          </w:p>
          <w:p>
            <w:pPr>
              <w:pStyle w:val="TableParagraph"/>
              <w:spacing w:line="273" w:lineRule="exact"/>
              <w:rPr>
                <w:sz w:val="21"/>
              </w:rPr>
            </w:pPr>
            <w:r>
              <w:rPr>
                <w:w w:val="100"/>
                <w:sz w:val="21"/>
              </w:rPr>
              <w:t>素</w:t>
            </w:r>
          </w:p>
        </w:tc>
        <w:tc>
          <w:tcPr>
            <w:tcW w:w="1268" w:type="dxa"/>
          </w:tcPr>
          <w:p>
            <w:pPr>
              <w:pStyle w:val="TableParagraph"/>
              <w:spacing w:line="241" w:lineRule="exact"/>
              <w:ind w:left="84" w:right="83"/>
              <w:rPr>
                <w:sz w:val="21"/>
              </w:rPr>
            </w:pPr>
            <w:r>
              <w:rPr>
                <w:sz w:val="21"/>
              </w:rPr>
              <w:t>环境保护目</w:t>
            </w:r>
          </w:p>
          <w:p>
            <w:pPr>
              <w:pStyle w:val="TableParagraph"/>
              <w:spacing w:line="273" w:lineRule="exact"/>
              <w:rPr>
                <w:sz w:val="21"/>
              </w:rPr>
            </w:pPr>
            <w:r>
              <w:rPr>
                <w:w w:val="100"/>
                <w:sz w:val="21"/>
              </w:rPr>
              <w:t>标</w:t>
            </w:r>
          </w:p>
        </w:tc>
        <w:tc>
          <w:tcPr>
            <w:tcW w:w="1435" w:type="dxa"/>
          </w:tcPr>
          <w:p>
            <w:pPr>
              <w:pStyle w:val="TableParagraph"/>
              <w:spacing w:before="102"/>
              <w:ind w:left="184"/>
              <w:jc w:val="left"/>
              <w:rPr>
                <w:sz w:val="21"/>
              </w:rPr>
            </w:pPr>
            <w:r>
              <w:rPr>
                <w:sz w:val="21"/>
              </w:rPr>
              <w:t>方位、距离</w:t>
            </w:r>
          </w:p>
        </w:tc>
        <w:tc>
          <w:tcPr>
            <w:tcW w:w="953" w:type="dxa"/>
          </w:tcPr>
          <w:p>
            <w:pPr>
              <w:pStyle w:val="TableParagraph"/>
              <w:spacing w:line="249" w:lineRule="exact"/>
              <w:ind w:left="108" w:right="107"/>
              <w:rPr>
                <w:sz w:val="21"/>
              </w:rPr>
            </w:pPr>
            <w:r>
              <w:rPr>
                <w:sz w:val="21"/>
              </w:rPr>
              <w:t>功能</w:t>
            </w:r>
            <w:r>
              <w:rPr>
                <w:rFonts w:ascii="Times New Roman" w:eastAsia="Times New Roman"/>
                <w:sz w:val="21"/>
              </w:rPr>
              <w:t>/</w:t>
            </w:r>
            <w:r>
              <w:rPr>
                <w:sz w:val="21"/>
              </w:rPr>
              <w:t>规</w:t>
            </w:r>
          </w:p>
          <w:p>
            <w:pPr>
              <w:pStyle w:val="TableParagraph"/>
              <w:spacing w:line="265" w:lineRule="exact"/>
              <w:ind w:left="1"/>
              <w:rPr>
                <w:sz w:val="21"/>
              </w:rPr>
            </w:pPr>
            <w:r>
              <w:rPr>
                <w:w w:val="100"/>
                <w:sz w:val="21"/>
              </w:rPr>
              <w:t>模</w:t>
            </w:r>
          </w:p>
        </w:tc>
        <w:tc>
          <w:tcPr>
            <w:tcW w:w="3589" w:type="dxa"/>
          </w:tcPr>
          <w:p>
            <w:pPr>
              <w:pStyle w:val="TableParagraph"/>
              <w:spacing w:before="102"/>
              <w:ind w:left="70" w:right="66"/>
              <w:rPr>
                <w:sz w:val="21"/>
              </w:rPr>
            </w:pPr>
            <w:r>
              <w:rPr>
                <w:sz w:val="21"/>
              </w:rPr>
              <w:t>保护级别</w:t>
            </w:r>
          </w:p>
        </w:tc>
      </w:tr>
      <w:tr>
        <w:trPr>
          <w:trHeight w:val="682" w:hRule="exact"/>
        </w:trPr>
        <w:tc>
          <w:tcPr>
            <w:tcW w:w="960" w:type="dxa"/>
          </w:tcPr>
          <w:p>
            <w:pPr>
              <w:pStyle w:val="TableParagraph"/>
              <w:spacing w:before="167"/>
              <w:ind w:left="158"/>
              <w:jc w:val="left"/>
              <w:rPr>
                <w:sz w:val="21"/>
              </w:rPr>
            </w:pPr>
            <w:r>
              <w:rPr>
                <w:sz w:val="21"/>
              </w:rPr>
              <w:t>地表水</w:t>
            </w:r>
          </w:p>
        </w:tc>
        <w:tc>
          <w:tcPr>
            <w:tcW w:w="1268" w:type="dxa"/>
          </w:tcPr>
          <w:p>
            <w:pPr>
              <w:pStyle w:val="TableParagraph"/>
              <w:spacing w:before="167"/>
              <w:ind w:left="83" w:right="83"/>
              <w:rPr>
                <w:sz w:val="21"/>
              </w:rPr>
            </w:pPr>
            <w:r>
              <w:rPr>
                <w:sz w:val="21"/>
              </w:rPr>
              <w:t>新宁河</w:t>
            </w:r>
          </w:p>
        </w:tc>
        <w:tc>
          <w:tcPr>
            <w:tcW w:w="1435" w:type="dxa"/>
          </w:tcPr>
          <w:p>
            <w:pPr>
              <w:pStyle w:val="TableParagraph"/>
              <w:spacing w:before="167"/>
              <w:ind w:left="208"/>
              <w:jc w:val="left"/>
              <w:rPr>
                <w:rFonts w:ascii="Times New Roman" w:eastAsia="Times New Roman"/>
                <w:sz w:val="21"/>
              </w:rPr>
            </w:pPr>
            <w:r>
              <w:rPr>
                <w:sz w:val="21"/>
              </w:rPr>
              <w:t>北侧，</w:t>
            </w:r>
            <w:r>
              <w:rPr>
                <w:rFonts w:ascii="Times New Roman" w:eastAsia="Times New Roman"/>
                <w:sz w:val="21"/>
              </w:rPr>
              <w:t>50m</w:t>
            </w:r>
          </w:p>
        </w:tc>
        <w:tc>
          <w:tcPr>
            <w:tcW w:w="953" w:type="dxa"/>
          </w:tcPr>
          <w:p>
            <w:pPr>
              <w:pStyle w:val="TableParagraph"/>
              <w:spacing w:line="272" w:lineRule="exact" w:before="58"/>
              <w:ind w:left="261" w:right="138" w:hanging="106"/>
              <w:jc w:val="left"/>
              <w:rPr>
                <w:sz w:val="21"/>
              </w:rPr>
            </w:pPr>
            <w:r>
              <w:rPr>
                <w:sz w:val="21"/>
              </w:rPr>
              <w:t>泄洪、灌溉</w:t>
            </w:r>
          </w:p>
        </w:tc>
        <w:tc>
          <w:tcPr>
            <w:tcW w:w="3589" w:type="dxa"/>
          </w:tcPr>
          <w:p>
            <w:pPr>
              <w:pStyle w:val="TableParagraph"/>
              <w:spacing w:line="281" w:lineRule="exact" w:before="30"/>
              <w:ind w:left="73" w:right="66"/>
              <w:rPr>
                <w:sz w:val="21"/>
              </w:rPr>
            </w:pPr>
            <w:r>
              <w:rPr>
                <w:sz w:val="21"/>
              </w:rPr>
              <w:t>《地表水环境质量标准》</w:t>
            </w:r>
            <w:r>
              <w:rPr>
                <w:rFonts w:ascii="Times New Roman" w:eastAsia="Times New Roman"/>
                <w:sz w:val="21"/>
              </w:rPr>
              <w:t>GB3838</w:t>
            </w:r>
            <w:r>
              <w:rPr>
                <w:sz w:val="21"/>
              </w:rPr>
              <w:t>－</w:t>
            </w:r>
          </w:p>
          <w:p>
            <w:pPr>
              <w:pStyle w:val="TableParagraph"/>
              <w:spacing w:line="281" w:lineRule="exact"/>
              <w:ind w:left="72" w:right="66"/>
              <w:rPr>
                <w:sz w:val="21"/>
              </w:rPr>
            </w:pPr>
            <w:r>
              <w:rPr>
                <w:rFonts w:ascii="Times New Roman" w:hAnsi="Times New Roman" w:eastAsia="Times New Roman"/>
                <w:sz w:val="21"/>
              </w:rPr>
              <w:t>2002 </w:t>
            </w:r>
            <w:r>
              <w:rPr>
                <w:sz w:val="21"/>
              </w:rPr>
              <w:t>中Ⅲ类水质标准</w:t>
            </w:r>
          </w:p>
        </w:tc>
      </w:tr>
      <w:tr>
        <w:trPr>
          <w:trHeight w:val="1099" w:hRule="exact"/>
        </w:trPr>
        <w:tc>
          <w:tcPr>
            <w:tcW w:w="960" w:type="dxa"/>
          </w:tcPr>
          <w:p>
            <w:pPr>
              <w:pStyle w:val="TableParagraph"/>
              <w:spacing w:before="5"/>
              <w:jc w:val="left"/>
              <w:rPr>
                <w:b/>
                <w:sz w:val="20"/>
              </w:rPr>
            </w:pPr>
          </w:p>
          <w:p>
            <w:pPr>
              <w:pStyle w:val="TableParagraph"/>
              <w:spacing w:line="272" w:lineRule="exact"/>
              <w:ind w:left="263" w:right="88" w:hanging="161"/>
              <w:jc w:val="left"/>
              <w:rPr>
                <w:sz w:val="21"/>
              </w:rPr>
            </w:pPr>
            <w:r>
              <w:rPr>
                <w:spacing w:val="-25"/>
                <w:sz w:val="21"/>
              </w:rPr>
              <w:t>大气、声环境</w:t>
            </w:r>
          </w:p>
        </w:tc>
        <w:tc>
          <w:tcPr>
            <w:tcW w:w="1268" w:type="dxa"/>
          </w:tcPr>
          <w:p>
            <w:pPr>
              <w:pStyle w:val="TableParagraph"/>
              <w:spacing w:before="9"/>
              <w:jc w:val="left"/>
              <w:rPr>
                <w:b/>
                <w:sz w:val="28"/>
              </w:rPr>
            </w:pPr>
          </w:p>
          <w:p>
            <w:pPr>
              <w:pStyle w:val="TableParagraph"/>
              <w:spacing w:before="1"/>
              <w:ind w:left="83" w:right="83"/>
              <w:rPr>
                <w:sz w:val="21"/>
              </w:rPr>
            </w:pPr>
            <w:r>
              <w:rPr>
                <w:sz w:val="21"/>
              </w:rPr>
              <w:t>沿线居民</w:t>
            </w:r>
          </w:p>
        </w:tc>
        <w:tc>
          <w:tcPr>
            <w:tcW w:w="1435" w:type="dxa"/>
          </w:tcPr>
          <w:p>
            <w:pPr>
              <w:pStyle w:val="TableParagraph"/>
              <w:spacing w:line="230" w:lineRule="auto" w:before="112"/>
              <w:ind w:left="105" w:right="100"/>
              <w:rPr>
                <w:sz w:val="21"/>
              </w:rPr>
            </w:pPr>
            <w:r>
              <w:rPr>
                <w:spacing w:val="-9"/>
                <w:sz w:val="21"/>
              </w:rPr>
              <w:t>两侧，最近处</w:t>
            </w:r>
            <w:r>
              <w:rPr>
                <w:rFonts w:ascii="Times New Roman" w:eastAsia="Times New Roman"/>
                <w:spacing w:val="-9"/>
                <w:sz w:val="21"/>
              </w:rPr>
              <w:t>20m</w:t>
            </w:r>
            <w:r>
              <w:rPr>
                <w:spacing w:val="-24"/>
                <w:sz w:val="21"/>
              </w:rPr>
              <w:t>，约 </w:t>
            </w:r>
            <w:r>
              <w:rPr>
                <w:rFonts w:ascii="Times New Roman" w:eastAsia="Times New Roman"/>
                <w:sz w:val="21"/>
              </w:rPr>
              <w:t>18 </w:t>
            </w:r>
            <w:r>
              <w:rPr>
                <w:sz w:val="21"/>
              </w:rPr>
              <w:t>人</w:t>
            </w:r>
          </w:p>
        </w:tc>
        <w:tc>
          <w:tcPr>
            <w:tcW w:w="953" w:type="dxa"/>
          </w:tcPr>
          <w:p>
            <w:pPr>
              <w:pStyle w:val="TableParagraph"/>
              <w:spacing w:before="9"/>
              <w:jc w:val="left"/>
              <w:rPr>
                <w:b/>
                <w:sz w:val="28"/>
              </w:rPr>
            </w:pPr>
          </w:p>
          <w:p>
            <w:pPr>
              <w:pStyle w:val="TableParagraph"/>
              <w:spacing w:before="1"/>
              <w:ind w:left="287"/>
              <w:jc w:val="left"/>
              <w:rPr>
                <w:sz w:val="21"/>
              </w:rPr>
            </w:pPr>
            <w:r>
              <w:rPr>
                <w:rFonts w:ascii="Times New Roman" w:eastAsia="Times New Roman"/>
                <w:sz w:val="21"/>
              </w:rPr>
              <w:t>6 </w:t>
            </w:r>
            <w:r>
              <w:rPr>
                <w:sz w:val="21"/>
              </w:rPr>
              <w:t>户</w:t>
            </w:r>
          </w:p>
        </w:tc>
        <w:tc>
          <w:tcPr>
            <w:tcW w:w="3589" w:type="dxa"/>
          </w:tcPr>
          <w:p>
            <w:pPr>
              <w:pStyle w:val="TableParagraph"/>
              <w:spacing w:line="248" w:lineRule="exact"/>
              <w:ind w:left="70" w:right="66"/>
              <w:rPr>
                <w:rFonts w:ascii="Times New Roman" w:eastAsia="Times New Roman"/>
                <w:sz w:val="21"/>
              </w:rPr>
            </w:pPr>
            <w:r>
              <w:rPr>
                <w:sz w:val="21"/>
              </w:rPr>
              <w:t>《环境空气质量标准》</w:t>
            </w:r>
            <w:r>
              <w:rPr>
                <w:rFonts w:ascii="Times New Roman" w:eastAsia="Times New Roman"/>
                <w:sz w:val="21"/>
              </w:rPr>
              <w:t>GB3095-2012</w:t>
            </w:r>
          </w:p>
          <w:p>
            <w:pPr>
              <w:pStyle w:val="TableParagraph"/>
              <w:spacing w:line="264" w:lineRule="exact"/>
              <w:ind w:left="72" w:right="66"/>
              <w:rPr>
                <w:sz w:val="21"/>
              </w:rPr>
            </w:pPr>
            <w:r>
              <w:rPr>
                <w:sz w:val="21"/>
              </w:rPr>
              <w:t>中的二级标准</w:t>
            </w:r>
          </w:p>
          <w:p>
            <w:pPr>
              <w:pStyle w:val="TableParagraph"/>
              <w:spacing w:line="274" w:lineRule="exact" w:before="24"/>
              <w:ind w:left="109" w:right="66"/>
              <w:rPr>
                <w:sz w:val="21"/>
              </w:rPr>
            </w:pPr>
            <w:r>
              <w:rPr>
                <w:spacing w:val="-15"/>
                <w:sz w:val="21"/>
              </w:rPr>
              <w:t>《声环境质量标准》</w:t>
            </w:r>
            <w:r>
              <w:rPr>
                <w:spacing w:val="-1"/>
                <w:sz w:val="21"/>
              </w:rPr>
              <w:t>（</w:t>
            </w:r>
            <w:r>
              <w:rPr>
                <w:rFonts w:ascii="Times New Roman" w:eastAsia="Times New Roman"/>
                <w:spacing w:val="-1"/>
                <w:sz w:val="21"/>
              </w:rPr>
              <w:t>GB3096-2008</w:t>
            </w:r>
            <w:r>
              <w:rPr>
                <w:spacing w:val="-1"/>
                <w:sz w:val="21"/>
              </w:rPr>
              <w:t>） </w:t>
            </w:r>
            <w:r>
              <w:rPr>
                <w:spacing w:val="-17"/>
                <w:sz w:val="21"/>
              </w:rPr>
              <w:t>中的 </w:t>
            </w:r>
            <w:r>
              <w:rPr>
                <w:rFonts w:ascii="Times New Roman" w:eastAsia="Times New Roman"/>
                <w:sz w:val="21"/>
              </w:rPr>
              <w:t>4a </w:t>
            </w:r>
            <w:r>
              <w:rPr>
                <w:spacing w:val="-2"/>
                <w:sz w:val="21"/>
              </w:rPr>
              <w:t>类标准</w:t>
            </w:r>
          </w:p>
        </w:tc>
      </w:tr>
      <w:tr>
        <w:trPr>
          <w:trHeight w:val="557" w:hRule="exact"/>
        </w:trPr>
        <w:tc>
          <w:tcPr>
            <w:tcW w:w="960" w:type="dxa"/>
          </w:tcPr>
          <w:p>
            <w:pPr>
              <w:pStyle w:val="TableParagraph"/>
              <w:spacing w:line="240" w:lineRule="exact"/>
              <w:ind w:left="263"/>
              <w:jc w:val="left"/>
              <w:rPr>
                <w:sz w:val="21"/>
              </w:rPr>
            </w:pPr>
            <w:r>
              <w:rPr>
                <w:sz w:val="21"/>
              </w:rPr>
              <w:t>生态</w:t>
            </w:r>
          </w:p>
          <w:p>
            <w:pPr>
              <w:pStyle w:val="TableParagraph"/>
              <w:spacing w:line="275" w:lineRule="exact"/>
              <w:ind w:left="263"/>
              <w:jc w:val="left"/>
              <w:rPr>
                <w:sz w:val="21"/>
              </w:rPr>
            </w:pPr>
            <w:r>
              <w:rPr>
                <w:sz w:val="21"/>
              </w:rPr>
              <w:t>环境</w:t>
            </w:r>
          </w:p>
        </w:tc>
        <w:tc>
          <w:tcPr>
            <w:tcW w:w="1268" w:type="dxa"/>
          </w:tcPr>
          <w:p>
            <w:pPr>
              <w:pStyle w:val="TableParagraph"/>
              <w:spacing w:line="240" w:lineRule="exact"/>
              <w:ind w:left="417"/>
              <w:jc w:val="left"/>
              <w:rPr>
                <w:sz w:val="21"/>
              </w:rPr>
            </w:pPr>
            <w:r>
              <w:rPr>
                <w:sz w:val="21"/>
              </w:rPr>
              <w:t>评价</w:t>
            </w:r>
          </w:p>
          <w:p>
            <w:pPr>
              <w:pStyle w:val="TableParagraph"/>
              <w:spacing w:line="275" w:lineRule="exact"/>
              <w:ind w:left="417"/>
              <w:jc w:val="left"/>
              <w:rPr>
                <w:sz w:val="21"/>
              </w:rPr>
            </w:pPr>
            <w:r>
              <w:rPr>
                <w:sz w:val="21"/>
              </w:rPr>
              <w:t>区域</w:t>
            </w:r>
          </w:p>
        </w:tc>
        <w:tc>
          <w:tcPr>
            <w:tcW w:w="5977" w:type="dxa"/>
            <w:gridSpan w:val="3"/>
          </w:tcPr>
          <w:p>
            <w:pPr>
              <w:pStyle w:val="TableParagraph"/>
              <w:spacing w:before="103"/>
              <w:ind w:left="2439" w:right="2437"/>
              <w:rPr>
                <w:sz w:val="21"/>
              </w:rPr>
            </w:pPr>
            <w:r>
              <w:rPr>
                <w:sz w:val="21"/>
              </w:rPr>
              <w:t>评价区域内</w:t>
            </w:r>
          </w:p>
        </w:tc>
      </w:tr>
    </w:tbl>
    <w:p>
      <w:pPr>
        <w:spacing w:after="0"/>
        <w:rPr>
          <w:sz w:val="21"/>
        </w:rPr>
        <w:sectPr>
          <w:pgSz w:w="11910" w:h="16850"/>
          <w:pgMar w:header="0" w:footer="1141" w:top="1400" w:bottom="1400" w:left="1620" w:right="1620"/>
        </w:sectPr>
      </w:pPr>
    </w:p>
    <w:p>
      <w:pPr>
        <w:tabs>
          <w:tab w:pos="7197" w:val="left" w:leader="none"/>
        </w:tabs>
        <w:spacing w:line="382" w:lineRule="exact" w:before="0"/>
        <w:ind w:left="118" w:right="0" w:firstLine="0"/>
        <w:jc w:val="left"/>
        <w:rPr>
          <w:b/>
          <w:sz w:val="30"/>
        </w:rPr>
      </w:pPr>
      <w:r>
        <w:rPr/>
        <w:pict>
          <v:group style="position:absolute;margin-left:118.444992pt;margin-top:70.485001pt;width:381.15pt;height:60.55pt;mso-position-horizontal-relative:page;mso-position-vertical-relative:paragraph;z-index:-198520" coordorigin="2369,1410" coordsize="7623,1211">
            <v:line style="position:absolute" from="2384,1424" to="3894,1424" stroked="true" strokeweight=".72pt" strokecolor="#000000">
              <v:stroke dashstyle="solid"/>
            </v:line>
            <v:line style="position:absolute" from="3908,1424" to="5418,1424" stroked="true" strokeweight=".72pt" strokecolor="#000000">
              <v:stroke dashstyle="solid"/>
            </v:line>
            <v:line style="position:absolute" from="5432,1424" to="6937,1424" stroked="true" strokeweight=".72pt" strokecolor="#000000">
              <v:stroke dashstyle="solid"/>
            </v:line>
            <v:line style="position:absolute" from="6952,1424" to="8459,1424" stroked="true" strokeweight=".72pt" strokecolor="#000000">
              <v:stroke dashstyle="solid"/>
            </v:line>
            <v:line style="position:absolute" from="8473,1424" to="9976,1424" stroked="true" strokeweight=".72pt" strokecolor="#000000">
              <v:stroke dashstyle="solid"/>
            </v:line>
            <v:line style="position:absolute" from="2384,1720" to="3894,1720" stroked="true" strokeweight=".72pt" strokecolor="#000000">
              <v:stroke dashstyle="solid"/>
            </v:line>
            <v:line style="position:absolute" from="3908,1720" to="5418,1720" stroked="true" strokeweight=".72pt" strokecolor="#000000">
              <v:stroke dashstyle="solid"/>
            </v:line>
            <v:line style="position:absolute" from="5432,1720" to="6937,1720" stroked="true" strokeweight=".72pt" strokecolor="#000000">
              <v:stroke dashstyle="solid"/>
            </v:line>
            <v:line style="position:absolute" from="6952,1720" to="8459,1720" stroked="true" strokeweight=".72pt" strokecolor="#000000">
              <v:stroke dashstyle="solid"/>
            </v:line>
            <v:line style="position:absolute" from="8473,1720" to="9976,1720" stroked="true" strokeweight=".72pt" strokecolor="#000000">
              <v:stroke dashstyle="solid"/>
            </v:line>
            <v:line style="position:absolute" from="2384,2012" to="3894,2012" stroked="true" strokeweight=".72pt" strokecolor="#000000">
              <v:stroke dashstyle="solid"/>
            </v:line>
            <v:line style="position:absolute" from="3908,2012" to="5418,2012" stroked="true" strokeweight=".72pt" strokecolor="#000000">
              <v:stroke dashstyle="solid"/>
            </v:line>
            <v:line style="position:absolute" from="5432,2012" to="6937,2012" stroked="true" strokeweight=".72pt" strokecolor="#000000">
              <v:stroke dashstyle="solid"/>
            </v:line>
            <v:line style="position:absolute" from="6952,2012" to="8459,2012" stroked="true" strokeweight=".72pt" strokecolor="#000000">
              <v:stroke dashstyle="solid"/>
            </v:line>
            <v:line style="position:absolute" from="8473,2012" to="9976,2012" stroked="true" strokeweight=".72pt" strokecolor="#000000">
              <v:stroke dashstyle="solid"/>
            </v:line>
            <v:line style="position:absolute" from="2384,2308" to="3894,2308" stroked="true" strokeweight=".72pt" strokecolor="#000000">
              <v:stroke dashstyle="solid"/>
            </v:line>
            <v:line style="position:absolute" from="3908,2308" to="5418,2308" stroked="true" strokeweight=".72pt" strokecolor="#000000">
              <v:stroke dashstyle="solid"/>
            </v:line>
            <v:line style="position:absolute" from="5432,2308" to="6937,2308" stroked="true" strokeweight=".72pt" strokecolor="#000000">
              <v:stroke dashstyle="solid"/>
            </v:line>
            <v:line style="position:absolute" from="6952,2308" to="8459,2308" stroked="true" strokeweight=".72pt" strokecolor="#000000">
              <v:stroke dashstyle="solid"/>
            </v:line>
            <v:line style="position:absolute" from="8473,2308" to="9976,2308" stroked="true" strokeweight=".72pt" strokecolor="#000000">
              <v:stroke dashstyle="solid"/>
            </v:line>
            <v:line style="position:absolute" from="2376,1417" to="2376,2612" stroked="true" strokeweight=".71999pt" strokecolor="#000000">
              <v:stroke dashstyle="solid"/>
            </v:line>
            <v:line style="position:absolute" from="2384,2605" to="3894,2605" stroked="true" strokeweight=".72pt" strokecolor="#000000">
              <v:stroke dashstyle="solid"/>
            </v:line>
            <v:line style="position:absolute" from="3901,1417" to="3901,2612" stroked="true" strokeweight=".72pt" strokecolor="#000000">
              <v:stroke dashstyle="solid"/>
            </v:line>
            <v:line style="position:absolute" from="3908,2605" to="5418,2605" stroked="true" strokeweight=".72pt" strokecolor="#000000">
              <v:stroke dashstyle="solid"/>
            </v:line>
            <v:line style="position:absolute" from="5425,1417" to="5425,2612" stroked="true" strokeweight=".72pt" strokecolor="#000000">
              <v:stroke dashstyle="solid"/>
            </v:line>
            <v:line style="position:absolute" from="5432,2605" to="6937,2605" stroked="true" strokeweight=".72pt" strokecolor="#000000">
              <v:stroke dashstyle="solid"/>
            </v:line>
            <v:line style="position:absolute" from="6945,1417" to="6945,2612" stroked="true" strokeweight=".72pt" strokecolor="#000000">
              <v:stroke dashstyle="solid"/>
            </v:line>
            <v:line style="position:absolute" from="6952,2605" to="8459,2605" stroked="true" strokeweight=".72pt" strokecolor="#000000">
              <v:stroke dashstyle="solid"/>
            </v:line>
            <v:line style="position:absolute" from="8466,1417" to="8466,2612" stroked="true" strokeweight=".72pt" strokecolor="#000000">
              <v:stroke dashstyle="solid"/>
            </v:line>
            <v:line style="position:absolute" from="8473,2605" to="9976,2605" stroked="true" strokeweight=".72pt" strokecolor="#000000">
              <v:stroke dashstyle="solid"/>
            </v:line>
            <v:line style="position:absolute" from="9984,1417" to="9984,2612" stroked="true" strokeweight=".72pt" strokecolor="#000000">
              <v:stroke dashstyle="solid"/>
            </v:line>
            <w10:wrap type="none"/>
          </v:group>
        </w:pict>
      </w:r>
      <w:r>
        <w:rPr/>
        <w:pict>
          <v:group style="position:absolute;margin-left:118.449997pt;margin-top:268.599976pt;width:381.1pt;height:29.3pt;mso-position-horizontal-relative:page;mso-position-vertical-relative:page;z-index:-198496" coordorigin="2369,5372" coordsize="7622,586">
            <v:line style="position:absolute" from="2379,5382" to="3387,5382" stroked="true" strokeweight=".48001pt" strokecolor="#000000">
              <v:stroke dashstyle="solid"/>
            </v:line>
            <v:line style="position:absolute" from="3396,5382" to="3985,5382" stroked="true" strokeweight=".48001pt" strokecolor="#000000">
              <v:stroke dashstyle="solid"/>
            </v:line>
            <v:line style="position:absolute" from="3995,5382" to="4947,5382" stroked="true" strokeweight=".48001pt" strokecolor="#000000">
              <v:stroke dashstyle="solid"/>
            </v:line>
            <v:line style="position:absolute" from="4957,5382" to="5826,5382" stroked="true" strokeweight=".48001pt" strokecolor="#000000">
              <v:stroke dashstyle="solid"/>
            </v:line>
            <v:line style="position:absolute" from="5835,5382" to="6801,5382" stroked="true" strokeweight=".48001pt" strokecolor="#000000">
              <v:stroke dashstyle="solid"/>
            </v:line>
            <v:line style="position:absolute" from="6810,5382" to="7883,5382" stroked="true" strokeweight=".48001pt" strokecolor="#000000">
              <v:stroke dashstyle="solid"/>
            </v:line>
            <v:line style="position:absolute" from="7893,5382" to="8963,5382" stroked="true" strokeweight=".48001pt" strokecolor="#000000">
              <v:stroke dashstyle="solid"/>
            </v:line>
            <v:line style="position:absolute" from="8973,5382" to="9981,5382" stroked="true" strokeweight=".48001pt" strokecolor="#000000">
              <v:stroke dashstyle="solid"/>
            </v:line>
            <v:line style="position:absolute" from="2379,5665" to="3387,5665" stroked="true" strokeweight=".48001pt" strokecolor="#000000">
              <v:stroke dashstyle="solid"/>
            </v:line>
            <v:line style="position:absolute" from="3396,5665" to="3985,5665" stroked="true" strokeweight=".48001pt" strokecolor="#000000">
              <v:stroke dashstyle="solid"/>
            </v:line>
            <v:line style="position:absolute" from="3995,5665" to="4947,5665" stroked="true" strokeweight=".48001pt" strokecolor="#000000">
              <v:stroke dashstyle="solid"/>
            </v:line>
            <v:line style="position:absolute" from="4957,5665" to="5826,5665" stroked="true" strokeweight=".48001pt" strokecolor="#000000">
              <v:stroke dashstyle="solid"/>
            </v:line>
            <v:line style="position:absolute" from="5835,5665" to="6801,5665" stroked="true" strokeweight=".48001pt" strokecolor="#000000">
              <v:stroke dashstyle="solid"/>
            </v:line>
            <v:line style="position:absolute" from="6810,5665" to="7883,5665" stroked="true" strokeweight=".48001pt" strokecolor="#000000">
              <v:stroke dashstyle="solid"/>
            </v:line>
            <v:line style="position:absolute" from="7893,5665" to="8963,5665" stroked="true" strokeweight=".48001pt" strokecolor="#000000">
              <v:stroke dashstyle="solid"/>
            </v:line>
            <v:line style="position:absolute" from="8973,5665" to="9981,5665" stroked="true" strokeweight=".48001pt" strokecolor="#000000">
              <v:stroke dashstyle="solid"/>
            </v:line>
            <v:line style="position:absolute" from="2374,5377" to="2374,5953" stroked="true" strokeweight=".48pt" strokecolor="#000000">
              <v:stroke dashstyle="solid"/>
            </v:line>
            <v:line style="position:absolute" from="2379,5948" to="3387,5948" stroked="true" strokeweight=".48001pt" strokecolor="#000000">
              <v:stroke dashstyle="solid"/>
            </v:line>
            <v:line style="position:absolute" from="3392,5377" to="3392,5953" stroked="true" strokeweight=".48001pt" strokecolor="#000000">
              <v:stroke dashstyle="solid"/>
            </v:line>
            <v:line style="position:absolute" from="3396,5948" to="3985,5948" stroked="true" strokeweight=".48001pt" strokecolor="#000000">
              <v:stroke dashstyle="solid"/>
            </v:line>
            <v:line style="position:absolute" from="3990,5377" to="3990,5953" stroked="true" strokeweight=".48pt" strokecolor="#000000">
              <v:stroke dashstyle="solid"/>
            </v:line>
            <v:line style="position:absolute" from="3995,5948" to="4947,5948" stroked="true" strokeweight=".48001pt" strokecolor="#000000">
              <v:stroke dashstyle="solid"/>
            </v:line>
            <v:line style="position:absolute" from="4952,5377" to="4952,5953" stroked="true" strokeweight=".48001pt" strokecolor="#000000">
              <v:stroke dashstyle="solid"/>
            </v:line>
            <v:line style="position:absolute" from="4957,5948" to="5826,5948" stroked="true" strokeweight=".48001pt" strokecolor="#000000">
              <v:stroke dashstyle="solid"/>
            </v:line>
            <v:line style="position:absolute" from="5831,5377" to="5831,5953" stroked="true" strokeweight=".48001pt" strokecolor="#000000">
              <v:stroke dashstyle="solid"/>
            </v:line>
            <v:line style="position:absolute" from="5835,5948" to="6801,5948" stroked="true" strokeweight=".48001pt" strokecolor="#000000">
              <v:stroke dashstyle="solid"/>
            </v:line>
            <v:line style="position:absolute" from="6805,5377" to="6805,5953" stroked="true" strokeweight=".47998pt" strokecolor="#000000">
              <v:stroke dashstyle="solid"/>
            </v:line>
            <v:line style="position:absolute" from="6810,5948" to="7883,5948" stroked="true" strokeweight=".48001pt" strokecolor="#000000">
              <v:stroke dashstyle="solid"/>
            </v:line>
            <v:line style="position:absolute" from="7888,5377" to="7888,5953" stroked="true" strokeweight=".47998pt" strokecolor="#000000">
              <v:stroke dashstyle="solid"/>
            </v:line>
            <v:line style="position:absolute" from="7893,5948" to="8963,5948" stroked="true" strokeweight=".48001pt" strokecolor="#000000">
              <v:stroke dashstyle="solid"/>
            </v:line>
            <v:line style="position:absolute" from="8968,5377" to="8968,5953" stroked="true" strokeweight=".48001pt" strokecolor="#000000">
              <v:stroke dashstyle="solid"/>
            </v:line>
            <v:line style="position:absolute" from="8973,5948" to="9981,5948" stroked="true" strokeweight=".48001pt" strokecolor="#000000">
              <v:stroke dashstyle="solid"/>
            </v:line>
            <v:line style="position:absolute" from="9986,5377" to="9986,5953" stroked="true" strokeweight=".48001pt" strokecolor="#000000">
              <v:stroke dashstyle="solid"/>
            </v:line>
            <w10:wrap type="none"/>
          </v:group>
        </w:pict>
      </w:r>
      <w:r>
        <w:rPr/>
        <w:pict>
          <v:group style="position:absolute;margin-left:118.449997pt;margin-top:359.679993pt;width:381.1pt;height:43.35pt;mso-position-horizontal-relative:page;mso-position-vertical-relative:page;z-index:-198472" coordorigin="2369,7194" coordsize="7622,867">
            <v:line style="position:absolute" from="2379,7203" to="4273,7203" stroked="true" strokeweight=".47998pt" strokecolor="#000000">
              <v:stroke dashstyle="solid"/>
            </v:line>
            <v:line style="position:absolute" from="4283,7203" to="6174,7203" stroked="true" strokeweight=".47998pt" strokecolor="#000000">
              <v:stroke dashstyle="solid"/>
            </v:line>
            <v:line style="position:absolute" from="6183,7203" to="8077,7203" stroked="true" strokeweight=".47998pt" strokecolor="#000000">
              <v:stroke dashstyle="solid"/>
            </v:line>
            <v:line style="position:absolute" from="8087,7203" to="9981,7203" stroked="true" strokeweight=".47998pt" strokecolor="#000000">
              <v:stroke dashstyle="solid"/>
            </v:line>
            <v:line style="position:absolute" from="2379,7484" to="4273,7484" stroked="true" strokeweight=".47998pt" strokecolor="#000000">
              <v:stroke dashstyle="solid"/>
            </v:line>
            <v:line style="position:absolute" from="4283,7484" to="6174,7484" stroked="true" strokeweight=".47998pt" strokecolor="#000000">
              <v:stroke dashstyle="solid"/>
            </v:line>
            <v:line style="position:absolute" from="6183,7484" to="8077,7484" stroked="true" strokeweight=".47998pt" strokecolor="#000000">
              <v:stroke dashstyle="solid"/>
            </v:line>
            <v:line style="position:absolute" from="8087,7484" to="9981,7484" stroked="true" strokeweight=".47998pt" strokecolor="#000000">
              <v:stroke dashstyle="solid"/>
            </v:line>
            <v:line style="position:absolute" from="2379,7767" to="4273,7767" stroked="true" strokeweight=".48001pt" strokecolor="#000000">
              <v:stroke dashstyle="solid"/>
            </v:line>
            <v:line style="position:absolute" from="4283,7767" to="6174,7767" stroked="true" strokeweight=".48001pt" strokecolor="#000000">
              <v:stroke dashstyle="solid"/>
            </v:line>
            <v:line style="position:absolute" from="6183,7767" to="8077,7767" stroked="true" strokeweight=".48001pt" strokecolor="#000000">
              <v:stroke dashstyle="solid"/>
            </v:line>
            <v:line style="position:absolute" from="8087,7767" to="9981,7767" stroked="true" strokeweight=".48001pt" strokecolor="#000000">
              <v:stroke dashstyle="solid"/>
            </v:line>
            <v:line style="position:absolute" from="2374,7199" to="2374,8055" stroked="true" strokeweight=".48pt" strokecolor="#000000">
              <v:stroke dashstyle="solid"/>
            </v:line>
            <v:line style="position:absolute" from="2379,8051" to="4273,8051" stroked="true" strokeweight=".48001pt" strokecolor="#000000">
              <v:stroke dashstyle="solid"/>
            </v:line>
            <v:line style="position:absolute" from="4278,7199" to="4278,8055" stroked="true" strokeweight=".48001pt" strokecolor="#000000">
              <v:stroke dashstyle="solid"/>
            </v:line>
            <v:line style="position:absolute" from="4283,8051" to="6174,8051" stroked="true" strokeweight=".48001pt" strokecolor="#000000">
              <v:stroke dashstyle="solid"/>
            </v:line>
            <v:line style="position:absolute" from="6179,7199" to="6179,8055" stroked="true" strokeweight=".48001pt" strokecolor="#000000">
              <v:stroke dashstyle="solid"/>
            </v:line>
            <v:line style="position:absolute" from="6183,8051" to="8077,8051" stroked="true" strokeweight=".48001pt" strokecolor="#000000">
              <v:stroke dashstyle="solid"/>
            </v:line>
            <v:line style="position:absolute" from="8082,7199" to="8082,8055" stroked="true" strokeweight=".47998pt" strokecolor="#000000">
              <v:stroke dashstyle="solid"/>
            </v:line>
            <v:line style="position:absolute" from="8087,8051" to="9981,8051" stroked="true" strokeweight=".48001pt" strokecolor="#000000">
              <v:stroke dashstyle="solid"/>
            </v:line>
            <v:line style="position:absolute" from="9986,7199" to="9986,8055" stroked="true" strokeweight=".48001pt" strokecolor="#000000">
              <v:stroke dashstyle="solid"/>
            </v:line>
            <w10:wrap type="none"/>
          </v:group>
        </w:pict>
      </w:r>
      <w:r>
        <w:rPr/>
        <w:pict>
          <v:shape style="position:absolute;margin-left:120.860001pt;margin-top:626.019958pt;width:376.8pt;height:73.1pt;mso-position-horizontal-relative:page;mso-position-vertical-relative:page;z-index:1984"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4"/>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2"/>
                          <w:ind w:left="249"/>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72" w:lineRule="exact" w:before="3"/>
                          <w:ind w:left="374" w:right="149" w:hanging="210"/>
                          <w:jc w:val="left"/>
                          <w:rPr>
                            <w:sz w:val="21"/>
                          </w:rPr>
                        </w:pPr>
                        <w:r>
                          <w:rPr>
                            <w:sz w:val="21"/>
                          </w:rPr>
                          <w:t>最高允许排放浓度</w:t>
                        </w:r>
                      </w:p>
                    </w:tc>
                    <w:tc>
                      <w:tcPr>
                        <w:tcW w:w="2631" w:type="dxa"/>
                        <w:gridSpan w:val="2"/>
                        <w:tcBorders>
                          <w:left w:val="single" w:sz="6" w:space="0" w:color="000000"/>
                          <w:bottom w:val="single" w:sz="6" w:space="0" w:color="000000"/>
                          <w:right w:val="single" w:sz="6" w:space="0" w:color="000000"/>
                        </w:tcBorders>
                      </w:tcPr>
                      <w:p>
                        <w:pPr>
                          <w:pStyle w:val="TableParagraph"/>
                          <w:spacing w:line="259" w:lineRule="exact"/>
                          <w:ind w:left="280"/>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3" w:lineRule="exact"/>
                          <w:ind w:left="208"/>
                          <w:jc w:val="left"/>
                          <w:rPr>
                            <w:sz w:val="21"/>
                          </w:rPr>
                        </w:pPr>
                        <w:r>
                          <w:rPr>
                            <w:sz w:val="21"/>
                          </w:rPr>
                          <w:t>无组织排放监控浓值</w:t>
                        </w:r>
                      </w:p>
                    </w:tc>
                  </w:tr>
                  <w:tr>
                    <w:trPr>
                      <w:trHeight w:val="288"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line="259"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3" w:lineRule="exact"/>
                          <w:ind w:left="380" w:right="375"/>
                          <w:rPr>
                            <w:sz w:val="21"/>
                          </w:rPr>
                        </w:pPr>
                        <w:r>
                          <w:rPr>
                            <w:sz w:val="21"/>
                          </w:rPr>
                          <w:t>浓度</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120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before="11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1.0</w:t>
                        </w:r>
                      </w:p>
                    </w:tc>
                  </w:tr>
                  <w:tr>
                    <w:trPr>
                      <w:trHeight w:val="286"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8"/>
                          <w:ind w:left="514" w:right="514"/>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8"/>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8"/>
                          <w:ind w:left="380" w:right="375"/>
                          <w:rPr>
                            <w:rFonts w:ascii="Times New Roman"/>
                            <w:sz w:val="21"/>
                          </w:rPr>
                        </w:pPr>
                        <w:r>
                          <w:rPr>
                            <w:rFonts w:ascii="Times New Roman"/>
                            <w:sz w:val="21"/>
                          </w:rPr>
                          <w:t>0.40</w:t>
                        </w:r>
                      </w:p>
                    </w:tc>
                  </w:tr>
                  <w:tr>
                    <w:trPr>
                      <w:trHeight w:val="290" w:hRule="exact"/>
                    </w:trPr>
                    <w:tc>
                      <w:tcPr>
                        <w:tcW w:w="1154" w:type="dxa"/>
                        <w:tcBorders>
                          <w:top w:val="single" w:sz="6" w:space="0" w:color="000000"/>
                          <w:right w:val="single" w:sz="6" w:space="0" w:color="000000"/>
                        </w:tcBorders>
                      </w:tcPr>
                      <w:p>
                        <w:pPr>
                          <w:pStyle w:val="TableParagraph"/>
                          <w:spacing w:line="243"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10"/>
                          <w:ind w:left="380" w:right="375"/>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19992pt;margin-top:71.220001pt;width:380.4pt;height:59.05pt;mso-position-horizontal-relative:page;mso-position-vertical-relative:paragraph;z-index:20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5"/>
                    <w:gridCol w:w="1524"/>
                    <w:gridCol w:w="1520"/>
                    <w:gridCol w:w="1522"/>
                    <w:gridCol w:w="1517"/>
                  </w:tblGrid>
                  <w:tr>
                    <w:trPr>
                      <w:trHeight w:val="286"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304"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bl>
                <w:p>
                  <w:pPr>
                    <w:pStyle w:val="BodyText"/>
                  </w:pPr>
                </w:p>
              </w:txbxContent>
            </v:textbox>
            <w10:wrap type="none"/>
          </v:shape>
        </w:pict>
      </w:r>
      <w:r>
        <w:rPr/>
        <w:pict>
          <v:shape style="position:absolute;margin-left:118.699997pt;margin-top:269.089966pt;width:380.6pt;height:28.35pt;mso-position-horizontal-relative:page;mso-position-vertical-relative:page;z-index:20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8"/>
                    <w:gridCol w:w="975"/>
                    <w:gridCol w:w="1082"/>
                    <w:gridCol w:w="1081"/>
                    <w:gridCol w:w="1018"/>
                  </w:tblGrid>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bl>
                <w:p>
                  <w:pPr>
                    <w:pStyle w:val="BodyText"/>
                  </w:pPr>
                </w:p>
              </w:txbxContent>
            </v:textbox>
            <w10:wrap type="none"/>
          </v:shape>
        </w:pict>
      </w:r>
      <w:r>
        <w:rPr/>
        <w:pict>
          <v:shape style="position:absolute;margin-left:118.699997pt;margin-top:360.169983pt;width:380.6pt;height:42.4pt;mso-position-horizontal-relative:page;mso-position-vertical-relative:page;z-index:205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4"/>
                    <w:gridCol w:w="1901"/>
                    <w:gridCol w:w="1904"/>
                    <w:gridCol w:w="1904"/>
                  </w:tblGrid>
                  <w:tr>
                    <w:trPr>
                      <w:trHeight w:val="281"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bl>
                <w:p>
                  <w:pPr>
                    <w:pStyle w:val="BodyText"/>
                  </w:pPr>
                </w:p>
              </w:txbxContent>
            </v:textbox>
            <w10:wrap type="none"/>
          </v:shape>
        </w:pict>
      </w:r>
      <w:r>
        <w:rPr/>
        <w:pict>
          <v:shape style="position:absolute;margin-left:121.099998pt;margin-top:626.259949pt;width:375.8pt;height:72.6pt;mso-position-horizontal-relative:page;mso-position-vertical-relative:page;z-index:208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159"/>
                    <w:gridCol w:w="1397"/>
                    <w:gridCol w:w="1424"/>
                    <w:gridCol w:w="1207"/>
                    <w:gridCol w:w="1092"/>
                    <w:gridCol w:w="1237"/>
                  </w:tblGrid>
                  <w:tr>
                    <w:trPr>
                      <w:trHeight w:val="295" w:hRule="exact"/>
                    </w:trPr>
                    <w:tc>
                      <w:tcPr>
                        <w:tcW w:w="1159" w:type="dxa"/>
                        <w:vMerge w:val="restart"/>
                      </w:tcPr>
                      <w:p>
                        <w:pPr/>
                      </w:p>
                    </w:tc>
                    <w:tc>
                      <w:tcPr>
                        <w:tcW w:w="1397" w:type="dxa"/>
                        <w:vMerge w:val="restart"/>
                      </w:tcPr>
                      <w:p>
                        <w:pPr/>
                      </w:p>
                    </w:tc>
                    <w:tc>
                      <w:tcPr>
                        <w:tcW w:w="2631" w:type="dxa"/>
                        <w:gridSpan w:val="2"/>
                      </w:tcPr>
                      <w:p>
                        <w:pPr/>
                      </w:p>
                    </w:tc>
                    <w:tc>
                      <w:tcPr>
                        <w:tcW w:w="2329" w:type="dxa"/>
                        <w:gridSpan w:val="2"/>
                      </w:tcPr>
                      <w:p>
                        <w:pPr/>
                      </w:p>
                    </w:tc>
                  </w:tr>
                  <w:tr>
                    <w:trPr>
                      <w:trHeight w:val="288" w:hRule="exact"/>
                    </w:trPr>
                    <w:tc>
                      <w:tcPr>
                        <w:tcW w:w="1159" w:type="dxa"/>
                        <w:vMerge/>
                      </w:tcPr>
                      <w:p>
                        <w:pPr/>
                      </w:p>
                    </w:tc>
                    <w:tc>
                      <w:tcPr>
                        <w:tcW w:w="1397" w:type="dxa"/>
                        <w:vMerge/>
                      </w:tcPr>
                      <w:p>
                        <w:pPr/>
                      </w:p>
                    </w:tc>
                    <w:tc>
                      <w:tcPr>
                        <w:tcW w:w="1424" w:type="dxa"/>
                      </w:tcPr>
                      <w:p>
                        <w:pPr/>
                      </w:p>
                    </w:tc>
                    <w:tc>
                      <w:tcPr>
                        <w:tcW w:w="1207" w:type="dxa"/>
                      </w:tcPr>
                      <w:p>
                        <w:pPr/>
                      </w:p>
                    </w:tc>
                    <w:tc>
                      <w:tcPr>
                        <w:tcW w:w="1092" w:type="dxa"/>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val="restart"/>
                      </w:tcPr>
                      <w:p>
                        <w:pPr/>
                      </w:p>
                    </w:tc>
                    <w:tc>
                      <w:tcPr>
                        <w:tcW w:w="1237" w:type="dxa"/>
                      </w:tcPr>
                      <w:p>
                        <w:pPr/>
                      </w:p>
                    </w:tc>
                  </w:tr>
                  <w:tr>
                    <w:trPr>
                      <w:trHeight w:val="286"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r>
                    <w:trPr>
                      <w:trHeight w:val="295"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bl>
                <w:p>
                  <w:pPr>
                    <w:pStyle w:val="BodyText"/>
                  </w:pPr>
                </w:p>
              </w:txbxContent>
            </v:textbox>
            <w10:wrap type="none"/>
          </v:shape>
        </w:pict>
      </w:r>
      <w:r>
        <w:rPr>
          <w:b/>
          <w:sz w:val="30"/>
        </w:rPr>
        <w:t>评价适用标准</w:t>
        <w:tab/>
      </w:r>
      <w:r>
        <w:rPr>
          <w:b/>
          <w:w w:val="95"/>
          <w:sz w:val="30"/>
        </w:rPr>
        <w:t>（表四）</w:t>
      </w:r>
    </w:p>
    <w:p>
      <w:pPr>
        <w:pStyle w:val="BodyText"/>
        <w:spacing w:before="5"/>
        <w:rPr>
          <w:b/>
          <w:sz w:val="18"/>
        </w:r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8771" w:hRule="exact"/>
        </w:trPr>
        <w:tc>
          <w:tcPr>
            <w:tcW w:w="451"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spacing w:before="7"/>
              <w:jc w:val="left"/>
              <w:rPr>
                <w:b/>
                <w:sz w:val="32"/>
              </w:rPr>
            </w:pPr>
          </w:p>
          <w:p>
            <w:pPr>
              <w:pStyle w:val="TableParagraph"/>
              <w:spacing w:line="357" w:lineRule="auto"/>
              <w:ind w:left="100" w:right="93"/>
              <w:jc w:val="both"/>
              <w:rPr>
                <w:sz w:val="24"/>
              </w:rPr>
            </w:pPr>
            <w:r>
              <w:rPr>
                <w:sz w:val="24"/>
              </w:rPr>
              <w:t>环境质量标准</w:t>
            </w:r>
          </w:p>
        </w:tc>
        <w:tc>
          <w:tcPr>
            <w:tcW w:w="7838" w:type="dxa"/>
          </w:tcPr>
          <w:p>
            <w:pPr>
              <w:pStyle w:val="TableParagraph"/>
              <w:spacing w:line="292" w:lineRule="exact"/>
              <w:ind w:left="100"/>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1337" w:val="left" w:leader="none"/>
                <w:tab w:pos="3750" w:val="left" w:leader="none"/>
              </w:tabs>
              <w:spacing w:before="135"/>
              <w:ind w:left="476"/>
              <w:rPr>
                <w:rFonts w:ascii="Times New Roman" w:eastAsia="Times New Roman"/>
                <w:b/>
                <w:sz w:val="16"/>
              </w:rPr>
            </w:pPr>
            <w:r>
              <w:rPr>
                <w:b/>
                <w:sz w:val="24"/>
              </w:rPr>
              <w:t>表</w:t>
            </w:r>
            <w:r>
              <w:rPr>
                <w:b/>
                <w:spacing w:val="-60"/>
                <w:sz w:val="24"/>
              </w:rPr>
              <w:t> </w:t>
            </w:r>
            <w:r>
              <w:rPr>
                <w:rFonts w:ascii="Times New Roman" w:eastAsia="Times New Roman"/>
                <w:b/>
                <w:sz w:val="24"/>
              </w:rPr>
              <w:t>4-1</w:t>
              <w:tab/>
            </w:r>
            <w:r>
              <w:rPr>
                <w:b/>
                <w:sz w:val="24"/>
              </w:rPr>
              <w:t>环境空气质量标准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tabs>
                <w:tab w:pos="1735" w:val="left" w:leader="none"/>
                <w:tab w:pos="3295" w:val="left" w:leader="none"/>
                <w:tab w:pos="4800" w:val="left" w:leader="none"/>
                <w:tab w:pos="6284" w:val="left" w:leader="none"/>
              </w:tabs>
              <w:spacing w:line="300" w:lineRule="exact" w:before="2"/>
              <w:ind w:right="194"/>
              <w:rPr>
                <w:rFonts w:ascii="Times New Roman" w:eastAsia="Times New Roman"/>
                <w:sz w:val="14"/>
              </w:rPr>
            </w:pPr>
            <w:r>
              <w:rPr>
                <w:sz w:val="21"/>
              </w:rPr>
              <w:t>取值</w:t>
            </w:r>
            <w:r>
              <w:rPr>
                <w:spacing w:val="-3"/>
                <w:sz w:val="21"/>
              </w:rPr>
              <w:t>时</w:t>
            </w:r>
            <w:r>
              <w:rPr>
                <w:sz w:val="21"/>
              </w:rPr>
              <w:t>段</w:t>
              <w:tab/>
              <w:t>单位</w:t>
              <w:tab/>
            </w:r>
            <w:r>
              <w:rPr>
                <w:rFonts w:ascii="Times New Roman" w:eastAsia="Times New Roman"/>
                <w:sz w:val="21"/>
              </w:rPr>
              <w:t>SO</w:t>
            </w:r>
            <w:r>
              <w:rPr>
                <w:rFonts w:ascii="Times New Roman" w:eastAsia="Times New Roman"/>
                <w:position w:val="-2"/>
                <w:sz w:val="14"/>
              </w:rPr>
              <w:t>2</w:t>
              <w:tab/>
            </w:r>
            <w:r>
              <w:rPr>
                <w:rFonts w:ascii="Times New Roman" w:eastAsia="Times New Roman"/>
                <w:sz w:val="21"/>
              </w:rPr>
              <w:t>NO</w:t>
            </w:r>
            <w:r>
              <w:rPr>
                <w:rFonts w:ascii="Times New Roman" w:eastAsia="Times New Roman"/>
                <w:position w:val="-2"/>
                <w:sz w:val="14"/>
              </w:rPr>
              <w:t>2</w:t>
              <w:tab/>
            </w:r>
            <w:r>
              <w:rPr>
                <w:rFonts w:ascii="Times New Roman" w:eastAsia="Times New Roman"/>
                <w:sz w:val="21"/>
              </w:rPr>
              <w:t>PM</w:t>
            </w:r>
            <w:r>
              <w:rPr>
                <w:rFonts w:ascii="Times New Roman" w:eastAsia="Times New Roman"/>
                <w:position w:val="-2"/>
                <w:sz w:val="14"/>
              </w:rPr>
              <w:t>10</w:t>
            </w:r>
          </w:p>
          <w:p>
            <w:pPr>
              <w:pStyle w:val="TableParagraph"/>
              <w:tabs>
                <w:tab w:pos="1560" w:val="left" w:leader="none"/>
                <w:tab w:pos="3175" w:val="left" w:leader="none"/>
                <w:tab w:pos="4697" w:val="left" w:leader="none"/>
                <w:tab w:pos="6587" w:val="right" w:leader="none"/>
              </w:tabs>
              <w:spacing w:line="286" w:lineRule="exact"/>
              <w:ind w:right="125"/>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0.06</w:t>
              <w:tab/>
              <w:t>0.04</w:t>
              <w:tab/>
              <w:t>0.07</w:t>
            </w:r>
          </w:p>
          <w:p>
            <w:pPr>
              <w:pStyle w:val="TableParagraph"/>
              <w:tabs>
                <w:tab w:pos="2114" w:val="left" w:leader="none"/>
                <w:tab w:pos="3730" w:val="left" w:leader="none"/>
                <w:tab w:pos="5252" w:val="left" w:leader="none"/>
                <w:tab w:pos="7141" w:val="right" w:leader="none"/>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w:t>
            </w:r>
            <w:r>
              <w:rPr>
                <w:spacing w:val="-3"/>
                <w:sz w:val="21"/>
              </w:rPr>
              <w:t>小</w:t>
            </w:r>
            <w:r>
              <w:rPr>
                <w:sz w:val="21"/>
              </w:rPr>
              <w:t>时</w:t>
            </w:r>
            <w:r>
              <w:rPr>
                <w:spacing w:val="-3"/>
                <w:sz w:val="21"/>
              </w:rPr>
              <w:t>平</w:t>
            </w:r>
            <w:r>
              <w:rPr>
                <w:sz w:val="21"/>
              </w:rPr>
              <w:t>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0.15</w:t>
              <w:tab/>
              <w:t>0.08</w:t>
              <w:tab/>
              <w:t>0.15</w:t>
            </w:r>
          </w:p>
          <w:p>
            <w:pPr>
              <w:pStyle w:val="TableParagraph"/>
              <w:tabs>
                <w:tab w:pos="2114" w:val="left" w:leader="none"/>
                <w:tab w:pos="3782" w:val="left" w:leader="none"/>
                <w:tab w:pos="5304" w:val="left" w:leader="none"/>
                <w:tab w:pos="6927" w:val="left" w:leader="none"/>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w:t>
            </w:r>
            <w:r>
              <w:rPr>
                <w:sz w:val="21"/>
              </w:rPr>
              <w:t>小</w:t>
            </w:r>
            <w:r>
              <w:rPr>
                <w:spacing w:val="-3"/>
                <w:sz w:val="21"/>
              </w:rPr>
              <w:t>时</w:t>
            </w:r>
            <w:r>
              <w:rPr>
                <w:sz w:val="21"/>
              </w:rPr>
              <w:t>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0.5</w:t>
              <w:tab/>
              <w:t>0.2</w:t>
              <w:tab/>
              <w:t>/</w:t>
            </w:r>
          </w:p>
          <w:p>
            <w:pPr>
              <w:pStyle w:val="TableParagraph"/>
              <w:spacing w:line="336" w:lineRule="auto" w:before="116"/>
              <w:ind w:left="100"/>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2" w:val="left" w:leader="none"/>
              </w:tabs>
              <w:spacing w:line="329" w:lineRule="exact" w:before="58"/>
              <w:ind w:right="1"/>
              <w:rPr>
                <w:b/>
                <w:sz w:val="24"/>
              </w:rPr>
            </w:pPr>
            <w:r>
              <w:rPr>
                <w:b/>
                <w:sz w:val="24"/>
              </w:rPr>
              <w:t>表</w:t>
            </w:r>
            <w:r>
              <w:rPr>
                <w:b/>
                <w:spacing w:val="-60"/>
                <w:sz w:val="24"/>
              </w:rPr>
              <w:t> </w:t>
            </w:r>
            <w:r>
              <w:rPr>
                <w:rFonts w:ascii="Times New Roman" w:eastAsia="Times New Roman"/>
                <w:b/>
                <w:sz w:val="24"/>
              </w:rPr>
              <w:t>4-2</w:t>
              <w:tab/>
            </w:r>
            <w:r>
              <w:rPr>
                <w:b/>
                <w:sz w:val="24"/>
              </w:rPr>
              <w:t>地表水环境质量标准</w:t>
            </w:r>
            <w:r>
              <w:rPr>
                <w:b/>
                <w:spacing w:val="1"/>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1" w:val="left" w:leader="none"/>
                <w:tab w:pos="1980" w:val="left" w:leader="none"/>
                <w:tab w:pos="2866" w:val="left" w:leader="none"/>
                <w:tab w:pos="2964" w:val="left" w:leader="none"/>
                <w:tab w:pos="3749" w:val="left" w:leader="none"/>
                <w:tab w:pos="3811" w:val="left" w:leader="none"/>
                <w:tab w:pos="4760" w:val="left" w:leader="none"/>
                <w:tab w:pos="4839" w:val="left" w:leader="none"/>
                <w:tab w:pos="5816" w:val="left" w:leader="none"/>
                <w:tab w:pos="6891" w:val="left" w:leader="none"/>
              </w:tabs>
              <w:spacing w:line="284" w:lineRule="exact" w:before="14"/>
              <w:ind w:left="297" w:right="295"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2"/>
                <w:sz w:val="14"/>
              </w:rPr>
              <w:t>5</w:t>
              <w:tab/>
            </w:r>
            <w:r>
              <w:rPr>
                <w:rFonts w:ascii="Times New Roman" w:hAnsi="Times New Roman" w:eastAsia="Times New Roman"/>
                <w:sz w:val="21"/>
              </w:rPr>
              <w:t>NH</w:t>
            </w:r>
            <w:r>
              <w:rPr>
                <w:rFonts w:ascii="Times New Roman" w:hAnsi="Times New Roman" w:eastAsia="Times New Roman"/>
                <w:position w:val="-2"/>
                <w:sz w:val="14"/>
              </w:rPr>
              <w:t>3</w:t>
            </w:r>
            <w:r>
              <w:rPr>
                <w:rFonts w:ascii="Times New Roman" w:hAnsi="Times New Roman" w:eastAsia="Times New Roman"/>
                <w:sz w:val="21"/>
              </w:rPr>
              <w:t>-N</w:t>
              <w:tab/>
            </w:r>
            <w:r>
              <w:rPr>
                <w:sz w:val="21"/>
              </w:rPr>
              <w:t>氰化物</w:t>
              <w:tab/>
              <w:t>挥发酚</w:t>
              <w:tab/>
              <w:t>石油类 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07" w:lineRule="exact"/>
              <w:ind w:left="100" w:right="-20"/>
              <w:jc w:val="left"/>
              <w:rPr>
                <w:sz w:val="24"/>
              </w:rPr>
            </w:pPr>
            <w:r>
              <w:rPr>
                <w:rFonts w:ascii="Times New Roman" w:eastAsia="Times New Roman"/>
                <w:sz w:val="24"/>
              </w:rPr>
              <w:t>3</w:t>
            </w:r>
            <w:r>
              <w:rPr>
                <w:spacing w:val="-9"/>
                <w:sz w:val="24"/>
              </w:rPr>
              <w:t>、环境噪声执行《声环境质量标准</w:t>
            </w:r>
            <w:r>
              <w:rPr>
                <w:spacing w:val="-152"/>
                <w:sz w:val="24"/>
              </w:rPr>
              <w:t>》</w:t>
            </w:r>
            <w:r>
              <w:rPr>
                <w:spacing w:val="-3"/>
                <w:sz w:val="24"/>
              </w:rPr>
              <w:t>（</w:t>
            </w:r>
            <w:r>
              <w:rPr>
                <w:rFonts w:ascii="Times New Roman" w:eastAsia="Times New Roman"/>
                <w:spacing w:val="-3"/>
                <w:sz w:val="24"/>
              </w:rPr>
              <w:t>GB3096-2008</w:t>
            </w:r>
            <w:r>
              <w:rPr>
                <w:spacing w:val="-3"/>
                <w:sz w:val="24"/>
              </w:rPr>
              <w:t>）</w:t>
            </w:r>
            <w:r>
              <w:rPr>
                <w:spacing w:val="-29"/>
                <w:sz w:val="24"/>
              </w:rPr>
              <w:t>中 </w:t>
            </w:r>
            <w:r>
              <w:rPr>
                <w:rFonts w:ascii="Times New Roman" w:eastAsia="Times New Roman"/>
                <w:sz w:val="24"/>
              </w:rPr>
              <w:t>2</w:t>
            </w:r>
            <w:r>
              <w:rPr>
                <w:rFonts w:ascii="Times New Roman" w:eastAsia="Times New Roman"/>
                <w:spacing w:val="2"/>
                <w:sz w:val="24"/>
              </w:rPr>
              <w:t> </w:t>
            </w:r>
            <w:r>
              <w:rPr>
                <w:spacing w:val="-16"/>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3"/>
              <w:ind w:left="100"/>
              <w:jc w:val="left"/>
              <w:rPr>
                <w:sz w:val="24"/>
              </w:rPr>
            </w:pPr>
            <w:r>
              <w:rPr>
                <w:sz w:val="24"/>
              </w:rPr>
              <w:t>见下表。</w:t>
            </w:r>
          </w:p>
          <w:p>
            <w:pPr>
              <w:pStyle w:val="TableParagraph"/>
              <w:tabs>
                <w:tab w:pos="1344" w:val="left" w:leader="none"/>
                <w:tab w:pos="4479" w:val="left" w:leader="none"/>
              </w:tabs>
              <w:spacing w:line="330" w:lineRule="exact" w:before="153"/>
              <w:ind w:left="482"/>
              <w:rPr>
                <w:rFonts w:ascii="Times New Roman" w:eastAsia="Times New Roman"/>
                <w:b/>
                <w:sz w:val="24"/>
              </w:rPr>
            </w:pPr>
            <w:r>
              <w:rPr>
                <w:b/>
                <w:sz w:val="24"/>
              </w:rPr>
              <w:t>表</w:t>
            </w:r>
            <w:r>
              <w:rPr>
                <w:b/>
                <w:spacing w:val="-60"/>
                <w:sz w:val="24"/>
              </w:rPr>
              <w:t> </w:t>
            </w:r>
            <w:r>
              <w:rPr>
                <w:rFonts w:ascii="Times New Roman" w:eastAsia="Times New Roman"/>
                <w:b/>
                <w:sz w:val="24"/>
              </w:rPr>
              <w:t>4-4</w:t>
              <w:tab/>
            </w:r>
            <w:r>
              <w:rPr>
                <w:b/>
                <w:sz w:val="24"/>
              </w:rPr>
              <w:t>《声环境质量标准》限值</w:t>
              <w:tab/>
            </w:r>
            <w:r>
              <w:rPr>
                <w:b/>
                <w:spacing w:val="-1"/>
                <w:w w:val="95"/>
                <w:sz w:val="24"/>
              </w:rPr>
              <w:t>单位</w:t>
            </w:r>
            <w:r>
              <w:rPr>
                <w:b/>
                <w:w w:val="95"/>
                <w:sz w:val="24"/>
              </w:rPr>
              <w:t>：</w:t>
            </w:r>
            <w:r>
              <w:rPr>
                <w:rFonts w:ascii="Times New Roman" w:eastAsia="Times New Roman"/>
                <w:b/>
                <w:w w:val="95"/>
                <w:sz w:val="24"/>
              </w:rPr>
              <w:t>Leq[dB(A)]</w:t>
            </w:r>
          </w:p>
          <w:p>
            <w:pPr>
              <w:pStyle w:val="TableParagraph"/>
              <w:tabs>
                <w:tab w:pos="1692" w:val="left" w:leader="none"/>
                <w:tab w:pos="3807" w:val="left" w:leader="none"/>
                <w:tab w:pos="5711" w:val="left" w:leader="none"/>
              </w:tabs>
              <w:spacing w:line="273" w:lineRule="exact"/>
              <w:ind w:left="2"/>
              <w:rPr>
                <w:sz w:val="21"/>
              </w:rPr>
            </w:pPr>
            <w:r>
              <w:rPr>
                <w:sz w:val="21"/>
              </w:rPr>
              <w:t>类别</w:t>
              <w:tab/>
              <w:t>等效</w:t>
            </w:r>
            <w:r>
              <w:rPr>
                <w:spacing w:val="-3"/>
                <w:sz w:val="21"/>
              </w:rPr>
              <w:t>声</w:t>
            </w:r>
            <w:r>
              <w:rPr>
                <w:sz w:val="21"/>
              </w:rPr>
              <w:t>级</w:t>
              <w:tab/>
              <w:t>昼间</w:t>
              <w:tab/>
              <w:t>夜间</w:t>
            </w:r>
          </w:p>
          <w:p>
            <w:pPr>
              <w:pStyle w:val="TableParagraph"/>
              <w:tabs>
                <w:tab w:pos="1596" w:val="left" w:leader="none"/>
                <w:tab w:pos="3802" w:val="left" w:leader="none"/>
                <w:tab w:pos="5917" w:val="right" w:leader="none"/>
              </w:tabs>
              <w:spacing w:line="287" w:lineRule="exact" w:before="6"/>
              <w:ind w:left="50"/>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p>
            <w:pPr>
              <w:pStyle w:val="TableParagraph"/>
              <w:tabs>
                <w:tab w:pos="1596" w:val="left" w:leader="none"/>
                <w:tab w:pos="3802" w:val="left" w:leader="none"/>
                <w:tab w:pos="5917" w:val="right" w:leader="none"/>
              </w:tabs>
              <w:spacing w:line="287" w:lineRule="exact"/>
              <w:ind w:left="4"/>
              <w:rPr>
                <w:rFonts w:ascii="Times New Roman" w:eastAsia="Times New Roman"/>
                <w:sz w:val="21"/>
              </w:rPr>
            </w:pPr>
            <w:r>
              <w:rPr>
                <w:rFonts w:ascii="Times New Roman" w:eastAsia="Times New Roman"/>
                <w:position w:val="1"/>
                <w:sz w:val="21"/>
              </w:rPr>
              <w:t>4a</w:t>
              <w:tab/>
            </w:r>
            <w:r>
              <w:rPr>
                <w:rFonts w:ascii="Times New Roman" w:eastAsia="Times New Roman"/>
                <w:sz w:val="21"/>
              </w:rPr>
              <w:t>dB</w:t>
            </w:r>
            <w:r>
              <w:rPr>
                <w:sz w:val="21"/>
              </w:rPr>
              <w:t>（</w:t>
            </w:r>
            <w:r>
              <w:rPr>
                <w:rFonts w:ascii="Times New Roman" w:eastAsia="Times New Roman"/>
                <w:sz w:val="21"/>
              </w:rPr>
              <w:t>A</w:t>
            </w:r>
            <w:r>
              <w:rPr>
                <w:sz w:val="21"/>
              </w:rPr>
              <w:t>）</w:t>
              <w:tab/>
            </w:r>
            <w:r>
              <w:rPr>
                <w:rFonts w:ascii="Times New Roman" w:eastAsia="Times New Roman"/>
                <w:position w:val="1"/>
                <w:sz w:val="21"/>
              </w:rPr>
              <w:t>70</w:t>
              <w:tab/>
              <w:t>55</w:t>
            </w:r>
          </w:p>
        </w:tc>
      </w:tr>
      <w:tr>
        <w:trPr>
          <w:trHeight w:val="4590" w:hRule="exact"/>
        </w:trPr>
        <w:tc>
          <w:tcPr>
            <w:tcW w:w="451" w:type="dxa"/>
          </w:tcPr>
          <w:p>
            <w:pPr>
              <w:pStyle w:val="TableParagraph"/>
              <w:jc w:val="left"/>
              <w:rPr>
                <w:b/>
                <w:sz w:val="24"/>
              </w:rPr>
            </w:pPr>
          </w:p>
          <w:p>
            <w:pPr>
              <w:pStyle w:val="TableParagraph"/>
              <w:spacing w:before="10"/>
              <w:jc w:val="left"/>
              <w:rPr>
                <w:b/>
                <w:sz w:val="22"/>
              </w:rPr>
            </w:pPr>
          </w:p>
          <w:p>
            <w:pPr>
              <w:pStyle w:val="TableParagraph"/>
              <w:spacing w:line="357" w:lineRule="auto"/>
              <w:ind w:left="100" w:right="93"/>
              <w:jc w:val="both"/>
              <w:rPr>
                <w:sz w:val="24"/>
              </w:rPr>
            </w:pPr>
            <w:r>
              <w:rPr>
                <w:sz w:val="24"/>
              </w:rPr>
              <w:t>污染物排放标准</w:t>
            </w:r>
          </w:p>
        </w:tc>
        <w:tc>
          <w:tcPr>
            <w:tcW w:w="7838" w:type="dxa"/>
          </w:tcPr>
          <w:p>
            <w:pPr>
              <w:pStyle w:val="TableParagraph"/>
              <w:spacing w:line="292" w:lineRule="exact"/>
              <w:ind w:left="100"/>
              <w:jc w:val="left"/>
              <w:rPr>
                <w:sz w:val="24"/>
              </w:rPr>
            </w:pPr>
            <w:r>
              <w:rPr>
                <w:rFonts w:ascii="Times New Roman" w:eastAsia="Times New Roman"/>
                <w:sz w:val="24"/>
              </w:rPr>
              <w:t>1</w:t>
            </w:r>
            <w:r>
              <w:rPr>
                <w:sz w:val="24"/>
              </w:rPr>
              <w:t>、废气</w:t>
            </w:r>
          </w:p>
          <w:p>
            <w:pPr>
              <w:pStyle w:val="TableParagraph"/>
              <w:spacing w:line="336" w:lineRule="auto" w:before="135"/>
              <w:ind w:left="100"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7"/>
                <w:sz w:val="24"/>
              </w:rPr>
              <w:t>的二级标准，详见表 </w:t>
            </w:r>
            <w:r>
              <w:rPr>
                <w:rFonts w:ascii="Times New Roman" w:eastAsia="Times New Roman"/>
                <w:sz w:val="24"/>
              </w:rPr>
              <w:t>4-5</w:t>
            </w:r>
            <w:r>
              <w:rPr>
                <w:sz w:val="24"/>
              </w:rPr>
              <w:t>。</w:t>
            </w:r>
          </w:p>
          <w:p>
            <w:pPr>
              <w:pStyle w:val="TableParagraph"/>
              <w:tabs>
                <w:tab w:pos="2078" w:val="left" w:leader="none"/>
                <w:tab w:pos="5213" w:val="left" w:leader="none"/>
              </w:tabs>
              <w:spacing w:before="28"/>
              <w:ind w:left="1216"/>
              <w:jc w:val="left"/>
              <w:rPr>
                <w:rFonts w:ascii="Times New Roman" w:eastAsia="Times New Roman"/>
                <w:b/>
                <w:sz w:val="16"/>
              </w:rPr>
            </w:pPr>
            <w:r>
              <w:rPr>
                <w:b/>
                <w:sz w:val="24"/>
              </w:rPr>
              <w:t>表</w:t>
            </w:r>
            <w:r>
              <w:rPr>
                <w:b/>
                <w:spacing w:val="-59"/>
                <w:sz w:val="24"/>
              </w:rPr>
              <w:t> </w:t>
            </w:r>
            <w:r>
              <w:rPr>
                <w:rFonts w:ascii="Times New Roman" w:eastAsia="Times New Roman"/>
                <w:b/>
                <w:sz w:val="24"/>
              </w:rPr>
              <w:t>4-5</w:t>
              <w:tab/>
            </w:r>
            <w:r>
              <w:rPr>
                <w:b/>
                <w:sz w:val="24"/>
              </w:rPr>
              <w:t>大气污染物综合排放标准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jc w:val="left"/>
              <w:rPr>
                <w:b/>
                <w:sz w:val="30"/>
              </w:rPr>
            </w:pPr>
          </w:p>
          <w:p>
            <w:pPr>
              <w:pStyle w:val="TableParagraph"/>
              <w:jc w:val="left"/>
              <w:rPr>
                <w:b/>
                <w:sz w:val="30"/>
              </w:rPr>
            </w:pPr>
          </w:p>
          <w:p>
            <w:pPr>
              <w:pStyle w:val="TableParagraph"/>
              <w:jc w:val="left"/>
              <w:rPr>
                <w:b/>
                <w:sz w:val="30"/>
              </w:rPr>
            </w:pPr>
          </w:p>
          <w:p>
            <w:pPr>
              <w:pStyle w:val="TableParagraph"/>
              <w:spacing w:before="260"/>
              <w:ind w:left="100"/>
              <w:jc w:val="left"/>
              <w:rPr>
                <w:sz w:val="24"/>
              </w:rPr>
            </w:pPr>
            <w:r>
              <w:rPr>
                <w:rFonts w:ascii="Times New Roman" w:eastAsia="Times New Roman"/>
                <w:sz w:val="24"/>
              </w:rPr>
              <w:t>2</w:t>
            </w:r>
            <w:r>
              <w:rPr>
                <w:sz w:val="24"/>
              </w:rPr>
              <w:t>、废水</w:t>
            </w:r>
          </w:p>
          <w:p>
            <w:pPr>
              <w:pStyle w:val="TableParagraph"/>
              <w:spacing w:line="338" w:lineRule="auto" w:before="135"/>
              <w:ind w:left="100"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tc>
      </w:tr>
    </w:tbl>
    <w:p>
      <w:pPr>
        <w:spacing w:after="0" w:line="338" w:lineRule="auto"/>
        <w:jc w:val="left"/>
        <w:rPr>
          <w:sz w:val="24"/>
        </w:rPr>
        <w:sectPr>
          <w:pgSz w:w="11910" w:h="16850"/>
          <w:pgMar w:header="0" w:footer="1141" w:top="1400" w:bottom="13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6843" w:hRule="exact"/>
        </w:trPr>
        <w:tc>
          <w:tcPr>
            <w:tcW w:w="451" w:type="dxa"/>
          </w:tcPr>
          <w:p>
            <w:pPr/>
          </w:p>
        </w:tc>
        <w:tc>
          <w:tcPr>
            <w:tcW w:w="7838" w:type="dxa"/>
          </w:tcPr>
          <w:p>
            <w:pPr>
              <w:pStyle w:val="TableParagraph"/>
              <w:tabs>
                <w:tab w:pos="1577" w:val="left" w:leader="none"/>
                <w:tab w:pos="5835" w:val="left" w:leader="none"/>
              </w:tabs>
              <w:spacing w:line="292" w:lineRule="exact"/>
              <w:ind w:left="715"/>
              <w:jc w:val="left"/>
              <w:rPr>
                <w:rFonts w:ascii="Times New Roman" w:eastAsia="Times New Roman"/>
                <w:b/>
                <w:sz w:val="24"/>
              </w:rPr>
            </w:pPr>
            <w:r>
              <w:rPr>
                <w:b/>
                <w:sz w:val="24"/>
              </w:rPr>
              <w:t>表</w:t>
            </w:r>
            <w:r>
              <w:rPr>
                <w:b/>
                <w:spacing w:val="-60"/>
                <w:sz w:val="24"/>
              </w:rPr>
              <w:t> </w:t>
            </w:r>
            <w:r>
              <w:rPr>
                <w:rFonts w:ascii="Times New Roman" w:eastAsia="Times New Roman"/>
                <w:b/>
                <w:sz w:val="24"/>
              </w:rPr>
              <w:t>4-6</w:t>
              <w:tab/>
            </w:r>
            <w:r>
              <w:rPr>
                <w:b/>
                <w:sz w:val="24"/>
              </w:rPr>
              <w:t>第二类污染物最高允许排放浓</w:t>
            </w:r>
            <w:r>
              <w:rPr>
                <w:b/>
                <w:spacing w:val="4"/>
                <w:sz w:val="24"/>
              </w:rPr>
              <w:t>度</w:t>
            </w:r>
            <w:r>
              <w:rPr>
                <w:rFonts w:ascii="Times New Roman" w:eastAsia="Times New Roman"/>
                <w:b/>
                <w:sz w:val="24"/>
              </w:rPr>
              <w:t>(</w:t>
            </w:r>
            <w:r>
              <w:rPr>
                <w:b/>
                <w:sz w:val="24"/>
              </w:rPr>
              <w:t>摘要</w:t>
            </w:r>
            <w:r>
              <w:rPr>
                <w:rFonts w:ascii="Times New Roman" w:eastAsia="Times New Roman"/>
                <w:b/>
                <w:sz w:val="24"/>
              </w:rPr>
              <w:t>)</w:t>
              <w:tab/>
            </w:r>
            <w:r>
              <w:rPr>
                <w:b/>
                <w:w w:val="95"/>
                <w:sz w:val="24"/>
              </w:rPr>
              <w:t>单位：</w:t>
            </w:r>
            <w:r>
              <w:rPr>
                <w:rFonts w:ascii="Times New Roman" w:eastAsia="Times New Roman"/>
                <w:b/>
                <w:w w:val="95"/>
                <w:sz w:val="24"/>
              </w:rPr>
              <w:t>mg/L</w:t>
            </w:r>
          </w:p>
          <w:p>
            <w:pPr>
              <w:pStyle w:val="TableParagraph"/>
              <w:tabs>
                <w:tab w:pos="2095" w:val="left" w:leader="none"/>
                <w:tab w:pos="4889" w:val="left" w:leader="none"/>
              </w:tabs>
              <w:spacing w:before="5"/>
              <w:ind w:right="274"/>
              <w:rPr>
                <w:sz w:val="21"/>
              </w:rPr>
            </w:pPr>
            <w:r>
              <w:rPr>
                <w:sz w:val="21"/>
              </w:rPr>
              <w:t>序号</w:t>
              <w:tab/>
              <w:t>污</w:t>
            </w:r>
            <w:r>
              <w:rPr>
                <w:spacing w:val="1"/>
                <w:sz w:val="21"/>
              </w:rPr>
              <w:t> </w:t>
            </w:r>
            <w:r>
              <w:rPr>
                <w:sz w:val="21"/>
              </w:rPr>
              <w:t>染</w:t>
            </w:r>
            <w:r>
              <w:rPr>
                <w:spacing w:val="-1"/>
                <w:sz w:val="21"/>
              </w:rPr>
              <w:t> </w:t>
            </w:r>
            <w:r>
              <w:rPr>
                <w:sz w:val="21"/>
              </w:rPr>
              <w:t>物</w:t>
              <w:tab/>
              <w:t>三级</w:t>
            </w:r>
            <w:r>
              <w:rPr>
                <w:spacing w:val="-3"/>
                <w:sz w:val="21"/>
              </w:rPr>
              <w:t>标</w:t>
            </w:r>
            <w:r>
              <w:rPr>
                <w:sz w:val="21"/>
              </w:rPr>
              <w:t>准</w:t>
            </w:r>
          </w:p>
          <w:p>
            <w:pPr>
              <w:pStyle w:val="TableParagraph"/>
              <w:tabs>
                <w:tab w:pos="2909" w:val="left" w:leader="none"/>
                <w:tab w:pos="6005" w:val="left" w:leader="none"/>
              </w:tabs>
              <w:spacing w:before="13"/>
              <w:ind w:left="1063"/>
              <w:jc w:val="left"/>
              <w:rPr>
                <w:rFonts w:ascii="Times New Roman" w:eastAsia="Times New Roman"/>
                <w:sz w:val="21"/>
              </w:rPr>
            </w:pPr>
            <w:r>
              <w:rPr>
                <w:rFonts w:ascii="Times New Roman" w:eastAsia="Times New Roman"/>
                <w:position w:val="2"/>
                <w:sz w:val="21"/>
              </w:rPr>
              <w:t>1</w:t>
              <w:tab/>
            </w:r>
            <w:r>
              <w:rPr>
                <w:rFonts w:ascii="Times New Roman" w:eastAsia="Times New Roman"/>
                <w:sz w:val="21"/>
              </w:rPr>
              <w:t>pH(</w:t>
            </w:r>
            <w:r>
              <w:rPr>
                <w:spacing w:val="-3"/>
                <w:sz w:val="21"/>
              </w:rPr>
              <w:t>无</w:t>
            </w:r>
            <w:r>
              <w:rPr>
                <w:sz w:val="21"/>
              </w:rPr>
              <w:t>量纲</w:t>
            </w:r>
            <w:r>
              <w:rPr>
                <w:rFonts w:ascii="Times New Roman" w:eastAsia="Times New Roman"/>
                <w:sz w:val="21"/>
              </w:rPr>
              <w:t>)</w:t>
              <w:tab/>
              <w:t>6</w:t>
            </w:r>
            <w:r>
              <w:rPr>
                <w:sz w:val="21"/>
              </w:rPr>
              <w:t>～</w:t>
            </w:r>
            <w:r>
              <w:rPr>
                <w:rFonts w:ascii="Times New Roman" w:eastAsia="Times New Roman"/>
                <w:sz w:val="21"/>
              </w:rPr>
              <w:t>9</w:t>
            </w:r>
          </w:p>
          <w:p>
            <w:pPr>
              <w:pStyle w:val="TableParagraph"/>
              <w:tabs>
                <w:tab w:pos="3307" w:val="left" w:leader="none"/>
                <w:tab w:pos="6375" w:val="right" w:leader="none"/>
              </w:tabs>
              <w:spacing w:before="34"/>
              <w:ind w:left="1063"/>
              <w:jc w:val="left"/>
              <w:rPr>
                <w:rFonts w:ascii="Times New Roman"/>
                <w:sz w:val="21"/>
              </w:rPr>
            </w:pPr>
            <w:r>
              <w:rPr>
                <w:rFonts w:ascii="Times New Roman"/>
                <w:sz w:val="21"/>
              </w:rPr>
              <w:t>2</w:t>
              <w:tab/>
              <w:t>SS</w:t>
              <w:tab/>
              <w:t>400</w:t>
            </w:r>
          </w:p>
          <w:p>
            <w:pPr>
              <w:pStyle w:val="TableParagraph"/>
              <w:tabs>
                <w:tab w:pos="3166" w:val="left" w:leader="none"/>
                <w:tab w:pos="6375" w:val="right" w:leader="none"/>
              </w:tabs>
              <w:spacing w:line="255" w:lineRule="exact" w:before="14"/>
              <w:ind w:left="1063"/>
              <w:jc w:val="left"/>
              <w:rPr>
                <w:rFonts w:ascii="Times New Roman"/>
                <w:sz w:val="21"/>
              </w:rPr>
            </w:pPr>
            <w:r>
              <w:rPr>
                <w:rFonts w:ascii="Times New Roman"/>
                <w:sz w:val="21"/>
              </w:rPr>
              <w:t>3</w:t>
              <w:tab/>
              <w:t>BOD</w:t>
            </w:r>
            <w:r>
              <w:rPr>
                <w:rFonts w:ascii="Times New Roman"/>
                <w:position w:val="-2"/>
                <w:sz w:val="14"/>
              </w:rPr>
              <w:t>5</w:t>
            </w:r>
            <w:r>
              <w:rPr>
                <w:rFonts w:ascii="Times New Roman"/>
                <w:sz w:val="21"/>
              </w:rPr>
              <w:tab/>
              <w:t>300</w:t>
            </w:r>
          </w:p>
          <w:p>
            <w:pPr>
              <w:pStyle w:val="TableParagraph"/>
              <w:tabs>
                <w:tab w:pos="3202" w:val="left" w:leader="none"/>
                <w:tab w:pos="6375" w:val="right" w:leader="none"/>
              </w:tabs>
              <w:spacing w:line="234" w:lineRule="exact"/>
              <w:ind w:left="1063"/>
              <w:jc w:val="left"/>
              <w:rPr>
                <w:rFonts w:ascii="Times New Roman"/>
                <w:sz w:val="21"/>
              </w:rPr>
            </w:pPr>
            <w:r>
              <w:rPr>
                <w:rFonts w:ascii="Times New Roman"/>
                <w:sz w:val="21"/>
              </w:rPr>
              <w:t>4</w:t>
              <w:tab/>
              <w:t>COD</w:t>
              <w:tab/>
              <w:t>500</w:t>
            </w:r>
          </w:p>
          <w:p>
            <w:pPr>
              <w:pStyle w:val="TableParagraph"/>
              <w:numPr>
                <w:ilvl w:val="0"/>
                <w:numId w:val="4"/>
              </w:numPr>
              <w:tabs>
                <w:tab w:pos="3214" w:val="left" w:leader="none"/>
                <w:tab w:pos="3215" w:val="left" w:leader="none"/>
                <w:tab w:pos="6188" w:val="left" w:leader="none"/>
              </w:tabs>
              <w:spacing w:line="268" w:lineRule="exact" w:before="0" w:after="0"/>
              <w:ind w:left="3214" w:right="0" w:hanging="2151"/>
              <w:jc w:val="left"/>
              <w:rPr>
                <w:rFonts w:ascii="Times New Roman" w:eastAsia="Times New Roman"/>
                <w:sz w:val="21"/>
              </w:rPr>
            </w:pPr>
            <w:r>
              <w:rPr>
                <w:position w:val="-1"/>
                <w:sz w:val="21"/>
              </w:rPr>
              <w:t>氨氮</w:t>
              <w:tab/>
            </w:r>
            <w:r>
              <w:rPr>
                <w:rFonts w:ascii="Times New Roman" w:eastAsia="Times New Roman"/>
                <w:sz w:val="21"/>
              </w:rPr>
              <w:t>/</w:t>
            </w:r>
          </w:p>
          <w:p>
            <w:pPr>
              <w:pStyle w:val="TableParagraph"/>
              <w:numPr>
                <w:ilvl w:val="0"/>
                <w:numId w:val="4"/>
              </w:numPr>
              <w:tabs>
                <w:tab w:pos="3108" w:val="left" w:leader="none"/>
                <w:tab w:pos="3109" w:val="left" w:leader="none"/>
                <w:tab w:pos="6322" w:val="right" w:leader="none"/>
              </w:tabs>
              <w:spacing w:line="240" w:lineRule="auto" w:before="12" w:after="0"/>
              <w:ind w:left="3108" w:right="0" w:hanging="2045"/>
              <w:jc w:val="left"/>
              <w:rPr>
                <w:rFonts w:ascii="Times New Roman" w:eastAsia="Times New Roman"/>
                <w:sz w:val="21"/>
              </w:rPr>
            </w:pPr>
            <w:r>
              <w:rPr>
                <w:position w:val="-1"/>
                <w:sz w:val="21"/>
              </w:rPr>
              <w:t>石油类</w:t>
            </w:r>
            <w:r>
              <w:rPr>
                <w:rFonts w:ascii="Times New Roman" w:eastAsia="Times New Roman"/>
                <w:sz w:val="21"/>
              </w:rPr>
              <w:tab/>
              <w:t>20</w:t>
            </w:r>
          </w:p>
          <w:p>
            <w:pPr>
              <w:pStyle w:val="TableParagraph"/>
              <w:spacing w:before="13"/>
              <w:ind w:left="100"/>
              <w:jc w:val="left"/>
              <w:rPr>
                <w:sz w:val="24"/>
              </w:rPr>
            </w:pPr>
            <w:r>
              <w:rPr>
                <w:rFonts w:ascii="Times New Roman" w:eastAsia="Times New Roman"/>
                <w:sz w:val="24"/>
              </w:rPr>
              <w:t>3</w:t>
            </w:r>
            <w:r>
              <w:rPr>
                <w:sz w:val="24"/>
              </w:rPr>
              <w:t>、噪声</w:t>
            </w:r>
          </w:p>
          <w:p>
            <w:pPr>
              <w:pStyle w:val="TableParagraph"/>
              <w:spacing w:before="133"/>
              <w:ind w:left="580" w:right="-13"/>
              <w:jc w:val="left"/>
              <w:rPr>
                <w:sz w:val="24"/>
              </w:rPr>
            </w:pPr>
            <w:r>
              <w:rPr>
                <w:spacing w:val="35"/>
                <w:sz w:val="24"/>
              </w:rPr>
              <w:t>建筑施工噪声执行 《建筑施工场界环 境噪声排放标准 》</w:t>
            </w:r>
          </w:p>
          <w:p>
            <w:pPr>
              <w:pStyle w:val="TableParagraph"/>
              <w:spacing w:before="153"/>
              <w:ind w:left="100"/>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1858" w:val="left" w:leader="none"/>
                <w:tab w:pos="5475" w:val="left" w:leader="none"/>
              </w:tabs>
              <w:spacing w:line="330" w:lineRule="exact" w:before="133"/>
              <w:ind w:left="996"/>
              <w:jc w:val="left"/>
              <w:rPr>
                <w:rFonts w:ascii="Times New Roman" w:eastAsia="Times New Roman"/>
                <w:b/>
                <w:sz w:val="24"/>
              </w:rPr>
            </w:pPr>
            <w:r>
              <w:rPr>
                <w:b/>
                <w:sz w:val="24"/>
              </w:rPr>
              <w:t>表</w:t>
            </w:r>
            <w:r>
              <w:rPr>
                <w:b/>
                <w:spacing w:val="-60"/>
                <w:sz w:val="24"/>
              </w:rPr>
              <w:t> </w:t>
            </w:r>
            <w:r>
              <w:rPr>
                <w:rFonts w:ascii="Times New Roman" w:eastAsia="Times New Roman"/>
                <w:b/>
                <w:sz w:val="24"/>
              </w:rPr>
              <w:t>4-7</w:t>
              <w:tab/>
            </w:r>
            <w:r>
              <w:rPr>
                <w:b/>
                <w:sz w:val="24"/>
              </w:rPr>
              <w:t>建筑施工场界环境噪声排放标准</w:t>
              <w:tab/>
            </w:r>
            <w:r>
              <w:rPr>
                <w:b/>
                <w:spacing w:val="-1"/>
                <w:w w:val="95"/>
                <w:sz w:val="24"/>
              </w:rPr>
              <w:t>单</w:t>
            </w:r>
            <w:r>
              <w:rPr>
                <w:b/>
                <w:w w:val="95"/>
                <w:sz w:val="24"/>
              </w:rPr>
              <w:t>位：</w:t>
            </w:r>
            <w:r>
              <w:rPr>
                <w:rFonts w:ascii="Times New Roman" w:eastAsia="Times New Roman"/>
                <w:b/>
                <w:w w:val="95"/>
                <w:sz w:val="24"/>
              </w:rPr>
              <w:t>dB(A)</w:t>
            </w:r>
          </w:p>
          <w:p>
            <w:pPr>
              <w:pStyle w:val="TableParagraph"/>
              <w:tabs>
                <w:tab w:pos="3801" w:val="left" w:leader="none"/>
              </w:tabs>
              <w:spacing w:line="273" w:lineRule="exact"/>
              <w:rPr>
                <w:sz w:val="21"/>
              </w:rPr>
            </w:pPr>
            <w:r>
              <w:rPr>
                <w:sz w:val="21"/>
              </w:rPr>
              <w:t>昼间</w:t>
              <w:tab/>
              <w:t>夜间</w:t>
            </w:r>
          </w:p>
          <w:p>
            <w:pPr>
              <w:pStyle w:val="TableParagraph"/>
              <w:tabs>
                <w:tab w:pos="3804" w:val="left" w:leader="none"/>
              </w:tabs>
              <w:spacing w:before="48"/>
              <w:ind w:right="2"/>
              <w:rPr>
                <w:rFonts w:ascii="Times New Roman"/>
                <w:sz w:val="21"/>
              </w:rPr>
            </w:pPr>
            <w:r>
              <w:rPr>
                <w:rFonts w:ascii="Times New Roman"/>
                <w:sz w:val="21"/>
              </w:rPr>
              <w:t>70</w:t>
              <w:tab/>
              <w:t>55</w:t>
            </w:r>
          </w:p>
          <w:p>
            <w:pPr>
              <w:pStyle w:val="TableParagraph"/>
              <w:spacing w:before="10"/>
              <w:jc w:val="left"/>
              <w:rPr>
                <w:b/>
                <w:sz w:val="30"/>
              </w:rPr>
            </w:pPr>
          </w:p>
          <w:p>
            <w:pPr>
              <w:pStyle w:val="TableParagraph"/>
              <w:spacing w:before="1"/>
              <w:ind w:left="100"/>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3"/>
              <w:ind w:left="100"/>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6" w:lineRule="auto" w:before="135"/>
              <w:ind w:left="100"/>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6332" w:hRule="exact"/>
        </w:trPr>
        <w:tc>
          <w:tcPr>
            <w:tcW w:w="451"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3"/>
              </w:rPr>
            </w:pPr>
          </w:p>
          <w:p>
            <w:pPr>
              <w:pStyle w:val="TableParagraph"/>
              <w:spacing w:line="237" w:lineRule="auto"/>
              <w:ind w:left="100" w:right="93"/>
              <w:jc w:val="both"/>
              <w:rPr>
                <w:sz w:val="24"/>
              </w:rPr>
            </w:pPr>
            <w:r>
              <w:rPr>
                <w:sz w:val="24"/>
              </w:rPr>
              <w:t>总量控制</w:t>
            </w:r>
          </w:p>
        </w:tc>
        <w:tc>
          <w:tcPr>
            <w:tcW w:w="7838"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spacing w:before="2"/>
              <w:jc w:val="left"/>
              <w:rPr>
                <w:b/>
                <w:sz w:val="35"/>
              </w:rPr>
            </w:pPr>
          </w:p>
          <w:p>
            <w:pPr>
              <w:pStyle w:val="TableParagraph"/>
              <w:spacing w:line="355" w:lineRule="auto" w:before="1"/>
              <w:ind w:left="100" w:right="23"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27.920006pt;margin-top:87.839981pt;width:362.2pt;height:98.7pt;mso-position-horizontal-relative:page;mso-position-vertical-relative:page;z-index:-198328" coordorigin="2558,1757" coordsize="7244,1974">
            <v:line style="position:absolute" from="2578,1776" to="4196,1776" stroked="true" strokeweight=".96pt" strokecolor="#000000">
              <v:stroke dashstyle="solid"/>
            </v:line>
            <v:line style="position:absolute" from="4196,1776" to="4215,1776" stroked="true" strokeweight=".96pt" strokecolor="#000000">
              <v:stroke dashstyle="solid"/>
            </v:line>
            <v:line style="position:absolute" from="4215,1776" to="7175,1776" stroked="true" strokeweight=".96pt" strokecolor="#000000">
              <v:stroke dashstyle="solid"/>
            </v:line>
            <v:line style="position:absolute" from="7175,1776" to="7194,1776" stroked="true" strokeweight=".96pt" strokecolor="#000000">
              <v:stroke dashstyle="solid"/>
            </v:line>
            <v:line style="position:absolute" from="7194,1776" to="9782,1776" stroked="true" strokeweight=".96pt" strokecolor="#000000">
              <v:stroke dashstyle="solid"/>
            </v:line>
            <v:line style="position:absolute" from="2578,2067" to="4196,2067" stroked="true" strokeweight=".72pt" strokecolor="#000000">
              <v:stroke dashstyle="solid"/>
            </v:line>
            <v:line style="position:absolute" from="4211,2067" to="7175,2067" stroked="true" strokeweight=".72pt" strokecolor="#000000">
              <v:stroke dashstyle="solid"/>
            </v:line>
            <v:line style="position:absolute" from="7189,2067" to="9782,2067" stroked="true" strokeweight=".72pt" strokecolor="#000000">
              <v:stroke dashstyle="solid"/>
            </v:line>
            <v:line style="position:absolute" from="2578,2362" to="4196,2362" stroked="true" strokeweight=".72pt" strokecolor="#000000">
              <v:stroke dashstyle="solid"/>
            </v:line>
            <v:line style="position:absolute" from="4211,2362" to="7175,2362" stroked="true" strokeweight=".72pt" strokecolor="#000000">
              <v:stroke dashstyle="solid"/>
            </v:line>
            <v:line style="position:absolute" from="7189,2362" to="9782,2362" stroked="true" strokeweight=".72pt" strokecolor="#000000">
              <v:stroke dashstyle="solid"/>
            </v:line>
            <v:line style="position:absolute" from="2578,2619" to="4196,2619" stroked="true" strokeweight=".72pt" strokecolor="#000000">
              <v:stroke dashstyle="solid"/>
            </v:line>
            <v:line style="position:absolute" from="4211,2619" to="7175,2619" stroked="true" strokeweight=".72pt" strokecolor="#000000">
              <v:stroke dashstyle="solid"/>
            </v:line>
            <v:line style="position:absolute" from="7189,2619" to="9782,2619" stroked="true" strokeweight=".72pt" strokecolor="#000000">
              <v:stroke dashstyle="solid"/>
            </v:line>
            <v:line style="position:absolute" from="2578,2876" to="4196,2876" stroked="true" strokeweight=".72pt" strokecolor="#000000">
              <v:stroke dashstyle="solid"/>
            </v:line>
            <v:line style="position:absolute" from="4211,2876" to="7175,2876" stroked="true" strokeweight=".72pt" strokecolor="#000000">
              <v:stroke dashstyle="solid"/>
            </v:line>
            <v:line style="position:absolute" from="7189,2876" to="9782,2876" stroked="true" strokeweight=".72pt" strokecolor="#000000">
              <v:stroke dashstyle="solid"/>
            </v:line>
            <v:line style="position:absolute" from="2578,3132" to="4196,3132" stroked="true" strokeweight=".72pt" strokecolor="#000000">
              <v:stroke dashstyle="solid"/>
            </v:line>
            <v:line style="position:absolute" from="4211,3132" to="7175,3132" stroked="true" strokeweight=".72pt" strokecolor="#000000">
              <v:stroke dashstyle="solid"/>
            </v:line>
            <v:line style="position:absolute" from="7189,3132" to="9782,3132" stroked="true" strokeweight=".72pt" strokecolor="#000000">
              <v:stroke dashstyle="solid"/>
            </v:line>
            <v:line style="position:absolute" from="2578,3420" to="4196,3420" stroked="true" strokeweight=".72pt" strokecolor="#000000">
              <v:stroke dashstyle="solid"/>
            </v:line>
            <v:line style="position:absolute" from="4211,3420" to="7175,3420" stroked="true" strokeweight=".72pt" strokecolor="#000000">
              <v:stroke dashstyle="solid"/>
            </v:line>
            <v:line style="position:absolute" from="7189,3420" to="9782,3420" stroked="true" strokeweight=".72pt" strokecolor="#000000">
              <v:stroke dashstyle="solid"/>
            </v:line>
            <v:line style="position:absolute" from="2568,1767" to="2568,3720" stroked="true" strokeweight=".96001pt" strokecolor="#000000">
              <v:stroke dashstyle="solid"/>
            </v:line>
            <v:line style="position:absolute" from="2578,3711" to="4196,3711" stroked="true" strokeweight=".96001pt" strokecolor="#000000">
              <v:stroke dashstyle="solid"/>
            </v:line>
            <v:line style="position:absolute" from="4203,1786" to="4203,3701" stroked="true" strokeweight=".72pt" strokecolor="#000000">
              <v:stroke dashstyle="solid"/>
            </v:line>
            <v:line style="position:absolute" from="4196,3711" to="4215,3711" stroked="true" strokeweight=".96001pt" strokecolor="#000000">
              <v:stroke dashstyle="solid"/>
            </v:line>
            <v:line style="position:absolute" from="4215,3711" to="7175,3711" stroked="true" strokeweight=".96001pt" strokecolor="#000000">
              <v:stroke dashstyle="solid"/>
            </v:line>
            <v:line style="position:absolute" from="7182,1786" to="7182,3701" stroked="true" strokeweight=".72pt" strokecolor="#000000">
              <v:stroke dashstyle="solid"/>
            </v:line>
            <v:line style="position:absolute" from="7175,3711" to="7194,3711" stroked="true" strokeweight=".96001pt" strokecolor="#000000">
              <v:stroke dashstyle="solid"/>
            </v:line>
            <v:line style="position:absolute" from="7194,3711" to="9782,3711" stroked="true" strokeweight=".96001pt" strokecolor="#000000">
              <v:stroke dashstyle="solid"/>
            </v:line>
            <v:line style="position:absolute" from="9792,1767" to="9792,3720" stroked="true" strokeweight=".95999pt" strokecolor="#000000">
              <v:stroke dashstyle="solid"/>
            </v:line>
            <w10:wrap type="none"/>
          </v:group>
        </w:pict>
      </w:r>
      <w:r>
        <w:rPr/>
        <w:pict>
          <v:group style="position:absolute;margin-left:118.449997pt;margin-top:271.359955pt;width:381.1pt;height:28.95pt;mso-position-horizontal-relative:page;mso-position-vertical-relative:page;z-index:-198304" coordorigin="2369,5427" coordsize="7622,579">
            <v:line style="position:absolute" from="2379,5437" to="6174,5437" stroked="true" strokeweight=".48001pt" strokecolor="#000000">
              <v:stroke dashstyle="solid"/>
            </v:line>
            <v:line style="position:absolute" from="6183,5437" to="9981,5437" stroked="true" strokeweight=".48001pt" strokecolor="#000000">
              <v:stroke dashstyle="solid"/>
            </v:line>
            <v:line style="position:absolute" from="2379,5720" to="6174,5720" stroked="true" strokeweight=".48001pt" strokecolor="#000000">
              <v:stroke dashstyle="solid"/>
            </v:line>
            <v:line style="position:absolute" from="6183,5720" to="9981,5720" stroked="true" strokeweight=".48001pt" strokecolor="#000000">
              <v:stroke dashstyle="solid"/>
            </v:line>
            <v:line style="position:absolute" from="2374,5432" to="2374,6001" stroked="true" strokeweight=".48pt" strokecolor="#000000">
              <v:stroke dashstyle="solid"/>
            </v:line>
            <v:line style="position:absolute" from="2379,5996" to="6174,5996" stroked="true" strokeweight=".48001pt" strokecolor="#000000">
              <v:stroke dashstyle="solid"/>
            </v:line>
            <v:line style="position:absolute" from="6179,5432" to="6179,6001" stroked="true" strokeweight=".48001pt" strokecolor="#000000">
              <v:stroke dashstyle="solid"/>
            </v:line>
            <v:line style="position:absolute" from="6183,5996" to="9981,5996" stroked="true" strokeweight=".48001pt" strokecolor="#000000">
              <v:stroke dashstyle="solid"/>
            </v:line>
            <v:line style="position:absolute" from="9986,5432" to="9986,6001" stroked="true" strokeweight=".48001pt" strokecolor="#000000">
              <v:stroke dashstyle="solid"/>
            </v:line>
            <w10:wrap type="none"/>
          </v:group>
        </w:pict>
      </w:r>
      <w:r>
        <w:rPr/>
        <w:pict>
          <v:shape style="position:absolute;margin-left:128.419998pt;margin-top:72.359978pt;width:361.2pt;height:113.2pt;mso-position-horizontal-relative:page;mso-position-vertical-relative:page;z-index:215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5"/>
                    <w:gridCol w:w="2979"/>
                    <w:gridCol w:w="2609"/>
                  </w:tblGrid>
                  <w:tr>
                    <w:trPr>
                      <w:trHeight w:val="329"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r>
                    <w:trPr>
                      <w:trHeight w:val="295" w:hRule="exact"/>
                    </w:trPr>
                    <w:tc>
                      <w:tcPr>
                        <w:tcW w:w="1635" w:type="dxa"/>
                      </w:tcPr>
                      <w:p>
                        <w:pPr/>
                      </w:p>
                    </w:tc>
                    <w:tc>
                      <w:tcPr>
                        <w:tcW w:w="2979" w:type="dxa"/>
                      </w:tcPr>
                      <w:p>
                        <w:pPr/>
                      </w:p>
                    </w:tc>
                    <w:tc>
                      <w:tcPr>
                        <w:tcW w:w="2609" w:type="dxa"/>
                      </w:tcPr>
                      <w:p>
                        <w:pPr/>
                      </w:p>
                    </w:tc>
                  </w:tr>
                  <w:tr>
                    <w:trPr>
                      <w:trHeight w:val="257" w:hRule="exact"/>
                    </w:trPr>
                    <w:tc>
                      <w:tcPr>
                        <w:tcW w:w="1635" w:type="dxa"/>
                      </w:tcPr>
                      <w:p>
                        <w:pPr/>
                      </w:p>
                    </w:tc>
                    <w:tc>
                      <w:tcPr>
                        <w:tcW w:w="2979" w:type="dxa"/>
                      </w:tcPr>
                      <w:p>
                        <w:pPr/>
                      </w:p>
                    </w:tc>
                    <w:tc>
                      <w:tcPr>
                        <w:tcW w:w="2609" w:type="dxa"/>
                      </w:tcPr>
                      <w:p>
                        <w:pPr/>
                      </w:p>
                    </w:tc>
                  </w:tr>
                  <w:tr>
                    <w:trPr>
                      <w:trHeight w:val="261" w:hRule="exact"/>
                    </w:trPr>
                    <w:tc>
                      <w:tcPr>
                        <w:tcW w:w="1635" w:type="dxa"/>
                      </w:tcPr>
                      <w:p>
                        <w:pPr/>
                      </w:p>
                    </w:tc>
                    <w:tc>
                      <w:tcPr>
                        <w:tcW w:w="2979" w:type="dxa"/>
                      </w:tcPr>
                      <w:p>
                        <w:pPr/>
                      </w:p>
                    </w:tc>
                    <w:tc>
                      <w:tcPr>
                        <w:tcW w:w="2609" w:type="dxa"/>
                      </w:tcPr>
                      <w:p>
                        <w:pPr/>
                      </w:p>
                    </w:tc>
                  </w:tr>
                  <w:tr>
                    <w:trPr>
                      <w:trHeight w:val="253" w:hRule="exact"/>
                    </w:trPr>
                    <w:tc>
                      <w:tcPr>
                        <w:tcW w:w="1635" w:type="dxa"/>
                      </w:tcPr>
                      <w:p>
                        <w:pPr/>
                      </w:p>
                    </w:tc>
                    <w:tc>
                      <w:tcPr>
                        <w:tcW w:w="2979" w:type="dxa"/>
                      </w:tcPr>
                      <w:p>
                        <w:pPr/>
                      </w:p>
                    </w:tc>
                    <w:tc>
                      <w:tcPr>
                        <w:tcW w:w="2609" w:type="dxa"/>
                      </w:tcPr>
                      <w:p>
                        <w:pPr/>
                      </w:p>
                    </w:tc>
                  </w:tr>
                  <w:tr>
                    <w:trPr>
                      <w:trHeight w:val="288"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bl>
                <w:p>
                  <w:pPr>
                    <w:pStyle w:val="BodyText"/>
                  </w:pPr>
                </w:p>
              </w:txbxContent>
            </v:textbox>
            <w10:wrap type="none"/>
          </v:shape>
        </w:pict>
      </w:r>
      <w:r>
        <w:rPr/>
        <w:pict>
          <v:shape style="position:absolute;margin-left:118.699997pt;margin-top:271.849976pt;width:380.6pt;height:28pt;mso-position-horizontal-relative:page;mso-position-vertical-relative:page;z-index:217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5"/>
                    <w:gridCol w:w="3807"/>
                  </w:tblGrid>
                  <w:tr>
                    <w:trPr>
                      <w:trHeight w:val="283" w:hRule="exact"/>
                    </w:trPr>
                    <w:tc>
                      <w:tcPr>
                        <w:tcW w:w="3805" w:type="dxa"/>
                      </w:tcPr>
                      <w:p>
                        <w:pPr/>
                      </w:p>
                    </w:tc>
                    <w:tc>
                      <w:tcPr>
                        <w:tcW w:w="3807" w:type="dxa"/>
                      </w:tcPr>
                      <w:p>
                        <w:pPr/>
                      </w:p>
                    </w:tc>
                  </w:tr>
                  <w:tr>
                    <w:trPr>
                      <w:trHeight w:val="276" w:hRule="exact"/>
                    </w:trPr>
                    <w:tc>
                      <w:tcPr>
                        <w:tcW w:w="3805" w:type="dxa"/>
                      </w:tcPr>
                      <w:p>
                        <w:pPr/>
                      </w:p>
                    </w:tc>
                    <w:tc>
                      <w:tcPr>
                        <w:tcW w:w="3807"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tabs>
          <w:tab w:pos="7197" w:val="left" w:leader="none"/>
        </w:tabs>
        <w:spacing w:line="382" w:lineRule="exact" w:before="0"/>
        <w:ind w:left="118" w:right="0" w:firstLine="0"/>
        <w:jc w:val="left"/>
        <w:rPr>
          <w:b/>
          <w:sz w:val="30"/>
        </w:rPr>
      </w:pPr>
      <w:r>
        <w:rPr>
          <w:b/>
          <w:sz w:val="30"/>
        </w:rPr>
        <w:t>建设项目工程分析</w:t>
        <w:tab/>
      </w:r>
      <w:r>
        <w:rPr>
          <w:b/>
          <w:w w:val="95"/>
          <w:sz w:val="30"/>
        </w:rPr>
        <w:t>（表五）</w:t>
      </w:r>
    </w:p>
    <w:p>
      <w:pPr>
        <w:spacing w:before="132"/>
        <w:ind w:left="238" w:right="0" w:firstLine="0"/>
        <w:jc w:val="left"/>
        <w:rPr>
          <w:b/>
          <w:sz w:val="28"/>
        </w:rPr>
      </w:pPr>
      <w:r>
        <w:rPr>
          <w:b/>
          <w:sz w:val="28"/>
        </w:rPr>
        <w:t>工艺流程简述</w:t>
      </w:r>
    </w:p>
    <w:p>
      <w:pPr>
        <w:pStyle w:val="BodyText"/>
        <w:spacing w:before="5"/>
        <w:rPr>
          <w:b/>
          <w:sz w:val="23"/>
        </w:rPr>
      </w:pPr>
    </w:p>
    <w:p>
      <w:pPr>
        <w:pStyle w:val="BodyText"/>
        <w:spacing w:line="340" w:lineRule="auto"/>
        <w:ind w:left="238" w:right="115" w:firstLine="479"/>
        <w:jc w:val="both"/>
        <w:rPr>
          <w:b/>
        </w:rPr>
      </w:pPr>
      <w:r>
        <w:rPr>
          <w:spacing w:val="-12"/>
        </w:rPr>
        <w:t>滨水景观 </w:t>
      </w:r>
      <w:r>
        <w:rPr>
          <w:rFonts w:ascii="Times New Roman" w:eastAsia="Times New Roman"/>
        </w:rPr>
        <w:t>3#</w:t>
      </w:r>
      <w:r>
        <w:rPr>
          <w:spacing w:val="-4"/>
        </w:rPr>
        <w:t>桥连接峨城大道段道路工程项目长 </w:t>
      </w:r>
      <w:r>
        <w:rPr>
          <w:rFonts w:ascii="Times New Roman" w:eastAsia="Times New Roman"/>
        </w:rPr>
        <w:t>314m</w:t>
      </w:r>
      <w:r>
        <w:rPr>
          <w:spacing w:val="-28"/>
        </w:rPr>
        <w:t>、宽 </w:t>
      </w:r>
      <w:r>
        <w:rPr>
          <w:rFonts w:ascii="Times New Roman" w:eastAsia="Times New Roman"/>
          <w:spacing w:val="-6"/>
        </w:rPr>
        <w:t>16m</w:t>
      </w:r>
      <w:r>
        <w:rPr>
          <w:spacing w:val="-2"/>
        </w:rPr>
        <w:t>，道路等级</w:t>
      </w:r>
      <w:r>
        <w:rPr>
          <w:spacing w:val="-11"/>
        </w:rPr>
        <w:t>为城市次干道，设计车速均为 </w:t>
      </w:r>
      <w:r>
        <w:rPr>
          <w:rFonts w:ascii="Times New Roman" w:eastAsia="Times New Roman"/>
          <w:spacing w:val="-5"/>
        </w:rPr>
        <w:t>20km/h</w:t>
      </w:r>
      <w:r>
        <w:rPr>
          <w:spacing w:val="-9"/>
        </w:rPr>
        <w:t>，路面均为沥青混凝土路面，均为双向 </w:t>
      </w:r>
      <w:r>
        <w:rPr>
          <w:rFonts w:ascii="Times New Roman" w:eastAsia="Times New Roman"/>
        </w:rPr>
        <w:t>2 </w:t>
      </w:r>
      <w:r>
        <w:rPr>
          <w:spacing w:val="-10"/>
        </w:rPr>
        <w:t>车道。主要建设内容包括：道路路基工路面、人行道铺装、雨污管网安装、绿化、亮化等工程，</w:t>
      </w:r>
      <w:r>
        <w:rPr>
          <w:b/>
          <w:spacing w:val="-10"/>
        </w:rPr>
        <w:t>不涉及涵洞工程、桥梁工程</w:t>
      </w:r>
      <w:r>
        <w:rPr>
          <w:spacing w:val="-18"/>
        </w:rPr>
        <w:t>。本项目于 </w:t>
      </w:r>
      <w:r>
        <w:rPr>
          <w:rFonts w:ascii="Times New Roman" w:eastAsia="Times New Roman"/>
        </w:rPr>
        <w:t>2017</w:t>
      </w:r>
      <w:r>
        <w:rPr>
          <w:rFonts w:ascii="Times New Roman" w:eastAsia="Times New Roman"/>
          <w:spacing w:val="3"/>
        </w:rPr>
        <w:t> </w:t>
      </w:r>
      <w:r>
        <w:rPr>
          <w:spacing w:val="-28"/>
        </w:rPr>
        <w:t>年 </w:t>
      </w:r>
      <w:r>
        <w:rPr>
          <w:rFonts w:ascii="Times New Roman" w:eastAsia="Times New Roman"/>
        </w:rPr>
        <w:t>6</w:t>
      </w:r>
      <w:r>
        <w:rPr>
          <w:rFonts w:ascii="Times New Roman" w:eastAsia="Times New Roman"/>
          <w:spacing w:val="3"/>
        </w:rPr>
        <w:t> </w:t>
      </w:r>
      <w:r>
        <w:rPr/>
        <w:t>月开工建</w:t>
      </w:r>
      <w:r>
        <w:rPr>
          <w:spacing w:val="-21"/>
        </w:rPr>
        <w:t>设，预计于 </w:t>
      </w:r>
      <w:r>
        <w:rPr>
          <w:rFonts w:ascii="Times New Roman" w:eastAsia="Times New Roman"/>
        </w:rPr>
        <w:t>2017</w:t>
      </w:r>
      <w:r>
        <w:rPr>
          <w:rFonts w:ascii="Times New Roman" w:eastAsia="Times New Roman"/>
          <w:spacing w:val="-1"/>
        </w:rPr>
        <w:t> </w:t>
      </w:r>
      <w:r>
        <w:rPr>
          <w:spacing w:val="-31"/>
        </w:rPr>
        <w:t>年 </w:t>
      </w:r>
      <w:r>
        <w:rPr>
          <w:rFonts w:ascii="Times New Roman" w:eastAsia="Times New Roman"/>
        </w:rPr>
        <w:t>12</w:t>
      </w:r>
      <w:r>
        <w:rPr>
          <w:rFonts w:ascii="Times New Roman" w:eastAsia="Times New Roman"/>
          <w:spacing w:val="-1"/>
        </w:rPr>
        <w:t> </w:t>
      </w:r>
      <w:r>
        <w:rPr>
          <w:spacing w:val="-18"/>
        </w:rPr>
        <w:t>月建成，工期 </w:t>
      </w:r>
      <w:r>
        <w:rPr>
          <w:rFonts w:ascii="Times New Roman" w:eastAsia="Times New Roman"/>
        </w:rPr>
        <w:t>6</w:t>
      </w:r>
      <w:r>
        <w:rPr>
          <w:rFonts w:ascii="Times New Roman" w:eastAsia="Times New Roman"/>
          <w:spacing w:val="-1"/>
        </w:rPr>
        <w:t> </w:t>
      </w:r>
      <w:r>
        <w:rPr>
          <w:spacing w:val="-19"/>
        </w:rPr>
        <w:t>个月，</w:t>
      </w:r>
      <w:r>
        <w:rPr>
          <w:b/>
          <w:spacing w:val="-8"/>
        </w:rPr>
        <w:t>经现场踏勘，本项目已动工建设。</w:t>
      </w:r>
    </w:p>
    <w:p>
      <w:pPr>
        <w:pStyle w:val="Heading3"/>
        <w:spacing w:before="24"/>
        <w:ind w:left="720"/>
      </w:pPr>
      <w:r>
        <w:rPr>
          <w:rFonts w:ascii="Times New Roman" w:eastAsia="Times New Roman"/>
          <w:w w:val="95"/>
        </w:rPr>
        <w:t>1</w:t>
      </w:r>
      <w:r>
        <w:rPr>
          <w:w w:val="95"/>
        </w:rPr>
        <w:t>、施工期工艺流程</w:t>
      </w:r>
    </w:p>
    <w:p>
      <w:pPr>
        <w:pStyle w:val="BodyText"/>
        <w:spacing w:line="355" w:lineRule="auto" w:before="135"/>
        <w:ind w:left="238" w:right="132" w:firstLine="479"/>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BodyText"/>
        <w:spacing w:before="3"/>
        <w:rPr>
          <w:sz w:val="21"/>
        </w:rPr>
      </w:pPr>
      <w:r>
        <w:rPr/>
        <w:pict>
          <v:shape style="position:absolute;margin-left:152.58139pt;margin-top:15.970522pt;width:290.850pt;height:22.65pt;mso-position-horizontal-relative:page;mso-position-vertical-relative:paragraph;z-index:2200;mso-wrap-distance-left:0;mso-wrap-distance-right:0" type="#_x0000_t202" filled="false" stroked="true" strokeweight=".191696pt" strokecolor="#000000">
            <v:textbox inset="0,0,0,0">
              <w:txbxContent>
                <w:p>
                  <w:pPr>
                    <w:spacing w:before="60"/>
                    <w:ind w:left="886" w:right="0" w:firstLine="0"/>
                    <w:jc w:val="left"/>
                    <w:rPr>
                      <w:sz w:val="19"/>
                    </w:rPr>
                  </w:pPr>
                  <w:r>
                    <w:rPr>
                      <w:sz w:val="19"/>
                    </w:rPr>
                    <w:t>粉尘、噪声、废气、废水、弃土弃渣、水土流失</w:t>
                  </w:r>
                </w:p>
              </w:txbxContent>
            </v:textbox>
            <v:stroke dashstyle="shortdot"/>
            <w10:wrap type="topAndBottom"/>
          </v:shape>
        </w:pict>
      </w:r>
    </w:p>
    <w:p>
      <w:pPr>
        <w:pStyle w:val="BodyText"/>
        <w:rPr>
          <w:sz w:val="20"/>
        </w:rPr>
      </w:pPr>
    </w:p>
    <w:p>
      <w:pPr>
        <w:pStyle w:val="BodyText"/>
        <w:rPr>
          <w:sz w:val="20"/>
        </w:rPr>
      </w:pPr>
    </w:p>
    <w:p>
      <w:pPr>
        <w:pStyle w:val="BodyText"/>
        <w:spacing w:before="7"/>
        <w:rPr>
          <w:sz w:val="18"/>
        </w:rPr>
      </w:pPr>
    </w:p>
    <w:p>
      <w:pPr>
        <w:spacing w:before="43"/>
        <w:ind w:left="0" w:right="766" w:firstLine="0"/>
        <w:jc w:val="right"/>
        <w:rPr>
          <w:sz w:val="19"/>
        </w:rPr>
      </w:pPr>
      <w:r>
        <w:rPr/>
        <w:pict>
          <v:shape style="position:absolute;margin-left:107.704193pt;margin-top:-3.66712pt;width:44.9pt;height:28.85pt;mso-position-horizontal-relative:page;mso-position-vertical-relative:paragraph;z-index:2248" type="#_x0000_t202" filled="false" stroked="true" strokeweight=".191896pt" strokecolor="#000000">
            <v:textbox inset="0,0,0,0">
              <w:txbxContent>
                <w:p>
                  <w:pPr>
                    <w:spacing w:before="122"/>
                    <w:ind w:left="62" w:right="0" w:firstLine="0"/>
                    <w:jc w:val="left"/>
                    <w:rPr>
                      <w:sz w:val="19"/>
                    </w:rPr>
                  </w:pPr>
                  <w:r>
                    <w:rPr>
                      <w:sz w:val="19"/>
                    </w:rPr>
                    <w:t>道路工程</w:t>
                  </w:r>
                </w:p>
              </w:txbxContent>
            </v:textbox>
            <v:stroke dashstyle="solid"/>
            <w10:wrap type="none"/>
          </v:shape>
        </w:pict>
      </w:r>
      <w:r>
        <w:rPr/>
        <w:pict>
          <v:shape style="position:absolute;margin-left:172.952637pt;margin-top:-3.187092pt;width:64.8pt;height:28.1pt;mso-position-horizontal-relative:page;mso-position-vertical-relative:paragraph;z-index:2272" type="#_x0000_t202" filled="false" stroked="true" strokeweight=".191802pt" strokecolor="#000000">
            <v:textbox inset="0,0,0,0">
              <w:txbxContent>
                <w:p>
                  <w:pPr>
                    <w:spacing w:before="114"/>
                    <w:ind w:left="164" w:right="0" w:firstLine="0"/>
                    <w:jc w:val="left"/>
                    <w:rPr>
                      <w:sz w:val="19"/>
                    </w:rPr>
                  </w:pPr>
                  <w:r>
                    <w:rPr>
                      <w:sz w:val="19"/>
                    </w:rPr>
                    <w:t>人行道工程</w:t>
                  </w:r>
                </w:p>
              </w:txbxContent>
            </v:textbox>
            <v:stroke dashstyle="solid"/>
            <w10:wrap type="none"/>
          </v:shape>
        </w:pict>
      </w:r>
      <w:r>
        <w:rPr/>
        <w:pict>
          <v:shape style="position:absolute;margin-left:255.805191pt;margin-top:-3.667919pt;width:64.8pt;height:28.1pt;mso-position-horizontal-relative:page;mso-position-vertical-relative:paragraph;z-index:2296" type="#_x0000_t202" filled="false" stroked="true" strokeweight=".191802pt" strokecolor="#000000">
            <v:textbox inset="0,0,0,0">
              <w:txbxContent>
                <w:p>
                  <w:pPr>
                    <w:spacing w:before="114"/>
                    <w:ind w:left="68" w:right="0" w:firstLine="0"/>
                    <w:jc w:val="left"/>
                    <w:rPr>
                      <w:sz w:val="19"/>
                    </w:rPr>
                  </w:pPr>
                  <w:r>
                    <w:rPr>
                      <w:sz w:val="19"/>
                    </w:rPr>
                    <w:t>市政管线工程</w:t>
                  </w:r>
                </w:p>
              </w:txbxContent>
            </v:textbox>
            <v:stroke dashstyle="solid"/>
            <w10:wrap type="none"/>
          </v:shape>
        </w:pict>
      </w:r>
      <w:r>
        <w:rPr/>
        <w:pict>
          <v:shape style="position:absolute;margin-left:341.873779pt;margin-top:-3.667919pt;width:71.05pt;height:28.1pt;mso-position-horizontal-relative:page;mso-position-vertical-relative:paragraph;z-index:2320" type="#_x0000_t202" filled="false" stroked="true" strokeweight=".191786pt" strokecolor="#000000">
            <v:textbox inset="0,0,0,0">
              <w:txbxContent>
                <w:p>
                  <w:pPr>
                    <w:spacing w:before="114"/>
                    <w:ind w:left="323" w:right="0" w:firstLine="0"/>
                    <w:jc w:val="left"/>
                    <w:rPr>
                      <w:sz w:val="19"/>
                    </w:rPr>
                  </w:pPr>
                  <w:r>
                    <w:rPr>
                      <w:sz w:val="19"/>
                    </w:rPr>
                    <w:t>绿化工程</w:t>
                  </w:r>
                </w:p>
              </w:txbxContent>
            </v:textbox>
            <v:stroke dashstyle="solid"/>
            <w10:wrap type="none"/>
          </v:shape>
        </w:pict>
      </w:r>
      <w:r>
        <w:rPr>
          <w:sz w:val="19"/>
        </w:rPr>
        <w:t>亮化工程</w:t>
      </w:r>
    </w:p>
    <w:p>
      <w:pPr>
        <w:pStyle w:val="BodyText"/>
        <w:rPr>
          <w:sz w:val="20"/>
        </w:rPr>
      </w:pPr>
    </w:p>
    <w:p>
      <w:pPr>
        <w:pStyle w:val="BodyText"/>
        <w:rPr>
          <w:sz w:val="20"/>
        </w:rPr>
      </w:pPr>
    </w:p>
    <w:p>
      <w:pPr>
        <w:pStyle w:val="BodyText"/>
        <w:rPr>
          <w:sz w:val="20"/>
        </w:rPr>
      </w:pPr>
    </w:p>
    <w:p>
      <w:pPr>
        <w:pStyle w:val="BodyText"/>
        <w:spacing w:before="4"/>
        <w:rPr>
          <w:sz w:val="17"/>
        </w:rPr>
      </w:pPr>
    </w:p>
    <w:p>
      <w:pPr>
        <w:spacing w:after="0"/>
        <w:rPr>
          <w:sz w:val="17"/>
        </w:rPr>
        <w:sectPr>
          <w:pgSz w:w="11910" w:h="16850"/>
          <w:pgMar w:header="0" w:footer="1141" w:top="1400" w:bottom="1340" w:left="1680" w:right="1680"/>
        </w:sectPr>
      </w:pPr>
    </w:p>
    <w:p>
      <w:pPr>
        <w:spacing w:before="68"/>
        <w:ind w:left="0" w:right="0" w:firstLine="0"/>
        <w:jc w:val="right"/>
        <w:rPr>
          <w:sz w:val="16"/>
        </w:rPr>
      </w:pPr>
      <w:r>
        <w:rPr>
          <w:sz w:val="16"/>
        </w:rPr>
        <w:t>废气、噪声、固废</w:t>
      </w:r>
    </w:p>
    <w:p>
      <w:pPr>
        <w:tabs>
          <w:tab w:pos="2835" w:val="left" w:leader="none"/>
        </w:tabs>
        <w:spacing w:before="43"/>
        <w:ind w:left="984" w:right="0" w:firstLine="0"/>
        <w:jc w:val="left"/>
        <w:rPr>
          <w:sz w:val="19"/>
        </w:rPr>
      </w:pPr>
      <w:r>
        <w:rPr/>
        <w:br w:type="column"/>
      </w:r>
      <w:r>
        <w:rPr>
          <w:sz w:val="19"/>
        </w:rPr>
        <w:t>交付使用</w:t>
        <w:tab/>
        <w:t>验收</w:t>
      </w:r>
    </w:p>
    <w:p>
      <w:pPr>
        <w:spacing w:after="0"/>
        <w:jc w:val="left"/>
        <w:rPr>
          <w:sz w:val="19"/>
        </w:rPr>
        <w:sectPr>
          <w:type w:val="continuous"/>
          <w:pgSz w:w="11910" w:h="16850"/>
          <w:pgMar w:top="1600" w:bottom="280" w:left="1680" w:right="1680"/>
          <w:cols w:num="2" w:equalWidth="0">
            <w:col w:w="4325" w:space="40"/>
            <w:col w:w="4185"/>
          </w:cols>
        </w:sectPr>
      </w:pPr>
    </w:p>
    <w:p>
      <w:pPr>
        <w:pStyle w:val="BodyText"/>
        <w:spacing w:before="3"/>
      </w:pPr>
      <w:r>
        <w:rPr/>
        <w:pict>
          <v:group style="position:absolute;margin-left:89.768997pt;margin-top:91.444984pt;width:415.95pt;height:636.6pt;mso-position-horizontal-relative:page;mso-position-vertical-relative:page;z-index:-198208" coordorigin="1795,1829" coordsize="8319,12732">
            <v:line style="position:absolute" from="1803,1836" to="1817,1836" stroked="true" strokeweight=".71999pt" strokecolor="#000000">
              <v:stroke dashstyle="solid"/>
            </v:line>
            <v:line style="position:absolute" from="1803,1836" to="1817,1836" stroked="true" strokeweight=".71999pt" strokecolor="#000000">
              <v:stroke dashstyle="solid"/>
            </v:line>
            <v:line style="position:absolute" from="1817,1836" to="10091,1836" stroked="true" strokeweight=".71999pt" strokecolor="#000000">
              <v:stroke dashstyle="solid"/>
            </v:line>
            <v:line style="position:absolute" from="10092,1836" to="10106,1836" stroked="true" strokeweight=".71999pt" strokecolor="#000000">
              <v:stroke dashstyle="solid"/>
            </v:line>
            <v:line style="position:absolute" from="10092,1836" to="10106,1836" stroked="true" strokeweight=".71999pt" strokecolor="#000000">
              <v:stroke dashstyle="solid"/>
            </v:line>
            <v:line style="position:absolute" from="1810,1844" to="1810,14546" stroked="true" strokeweight=".72pt" strokecolor="#000000">
              <v:stroke dashstyle="solid"/>
            </v:line>
            <v:line style="position:absolute" from="1803,14553" to="1817,14553" stroked="true" strokeweight=".71997pt" strokecolor="#000000">
              <v:stroke dashstyle="solid"/>
            </v:line>
            <v:line style="position:absolute" from="1803,14553" to="1817,14553" stroked="true" strokeweight=".71997pt" strokecolor="#000000">
              <v:stroke dashstyle="solid"/>
            </v:line>
            <v:line style="position:absolute" from="1817,14553" to="10091,14553" stroked="true" strokeweight=".71997pt" strokecolor="#000000">
              <v:stroke dashstyle="solid"/>
            </v:line>
            <v:line style="position:absolute" from="10099,1844" to="10099,14546" stroked="true" strokeweight=".71997pt" strokecolor="#000000">
              <v:stroke dashstyle="solid"/>
            </v:line>
            <v:line style="position:absolute" from="10092,14553" to="10106,14553" stroked="true" strokeweight=".71997pt" strokecolor="#000000">
              <v:stroke dashstyle="solid"/>
            </v:line>
            <v:line style="position:absolute" from="10092,14553" to="10106,14553" stroked="true" strokeweight=".71997pt" strokecolor="#000000">
              <v:stroke dashstyle="solid"/>
            </v:line>
            <v:rect style="position:absolute;left:1978;top:6538;width:7756;height:3324" filled="false" stroked="true" strokeweight=".75pt" strokecolor="#000000">
              <v:stroke dashstyle="solid"/>
            </v:rect>
            <v:shape style="position:absolute;left:587;top:13735;width:8667;height:3064" coordorigin="587,13735" coordsize="8667,3064" path="m8619,9626l9528,9626,9528,9173,8619,9173,8619,9626xm8596,8376l9550,8376,9550,7814,8596,7814,8596,8376xm6824,9626l8005,9626,8005,9173,6824,9173,6824,9626xm2603,7814l3196,7179e" filled="false" stroked="true" strokeweight=".192039pt" strokecolor="#000000">
              <v:path arrowok="t"/>
              <v:stroke dashstyle="solid"/>
            </v:shape>
            <v:shape style="position:absolute;left:3156;top:7090;width:123;height:127" coordorigin="3156,7090" coordsize="123,127" path="m3279,7090l3156,7157,3221,7217,3279,7090xe" filled="true" fillcolor="#000000" stroked="false">
              <v:path arrowok="t"/>
              <v:fill type="solid"/>
            </v:shape>
            <v:line style="position:absolute" from="5764,7814" to="5773,7211" stroked="true" strokeweight=".192386pt" strokecolor="#000000">
              <v:stroke dashstyle="solid"/>
            </v:line>
            <v:shape style="position:absolute;left:5729;top:7090;width:89;height:133" coordorigin="5729,7090" coordsize="89,133" path="m5775,7090l5729,7221,5817,7223,5775,7090xe" filled="true" fillcolor="#000000" stroked="false">
              <v:path arrowok="t"/>
              <v:fill type="solid"/>
            </v:shape>
            <v:line style="position:absolute" from="7548,7814" to="7565,7211" stroked="true" strokeweight=".192385pt" strokecolor="#000000">
              <v:stroke dashstyle="solid"/>
            </v:line>
            <v:shape style="position:absolute;left:7520;top:7090;width:89;height:134" coordorigin="7520,7090" coordsize="89,134" path="m7568,7090l7520,7221,7608,7223,7568,7090xe" filled="true" fillcolor="#000000" stroked="false">
              <v:path arrowok="t"/>
              <v:fill type="solid"/>
            </v:shape>
            <v:line style="position:absolute" from="9073,7814" to="8704,7194" stroked="true" strokeweight=".192204pt" strokecolor="#000000">
              <v:stroke dashstyle="solid"/>
            </v:line>
            <v:shape style="position:absolute;left:8641;top:7090;width:106;height:137" coordorigin="8641,7090" coordsize="106,137" path="m8641,7090l8671,7226,8747,7181,8641,7090xe" filled="true" fillcolor="#000000" stroked="false">
              <v:path arrowok="t"/>
              <v:fill type="solid"/>
            </v:shape>
            <v:line style="position:absolute" from="9073,8376" to="9073,9096" stroked="true" strokeweight=".19237pt" strokecolor="#000000">
              <v:stroke dashstyle="solid"/>
            </v:line>
            <v:shape style="position:absolute;left:9029;top:9085;width:89;height:89" coordorigin="9029,9085" coordsize="89,89" path="m9117,9085l9029,9085,9073,9173,9117,9085xe" filled="true" fillcolor="#000000" stroked="false">
              <v:path arrowok="t"/>
              <v:fill type="solid"/>
            </v:shape>
            <v:line style="position:absolute" from="8619,9399" to="8083,9399" stroked="true" strokeweight=".191676pt" strokecolor="#000000">
              <v:stroke dashstyle="solid"/>
            </v:line>
            <v:shape style="position:absolute;left:8005;top:9355;width:89;height:89" coordorigin="8005,9355" coordsize="89,89" path="m8094,9355l8005,9399,8094,9443,8094,9355xe" filled="true" fillcolor="#000000" stroked="false">
              <v:path arrowok="t"/>
              <v:fill type="solid"/>
            </v:shape>
            <v:line style="position:absolute" from="6824,9399" to="6219,9399" stroked="true" strokeweight=".191676pt" strokecolor="#000000">
              <v:stroke dashstyle="solid"/>
            </v:line>
            <v:shape style="position:absolute;left:6142;top:9355;width:89;height:89" coordorigin="6142,9355" coordsize="89,89" path="m6230,9355l6142,9399,6230,9443,6230,9355xe" filled="true" fillcolor="#000000" stroked="false">
              <v:path arrowok="t"/>
              <v:fill type="solid"/>
            </v:shape>
            <v:line style="position:absolute" from="4107,7824" to="4116,7221" stroked="true" strokeweight=".192386pt" strokecolor="#000000">
              <v:stroke dashstyle="solid"/>
            </v:line>
            <v:shape style="position:absolute;left:4072;top:7099;width:89;height:133" coordorigin="4072,7099" coordsize="89,133" path="m4118,7099l4072,7231,4160,7232,4118,7099xe" filled="true" fillcolor="#000000" stroked="false">
              <v:path arrowok="t"/>
              <v:fill type="solid"/>
            </v:shape>
            <w10:wrap type="none"/>
          </v:group>
        </w:pict>
      </w:r>
    </w:p>
    <w:p>
      <w:pPr>
        <w:pStyle w:val="Heading3"/>
        <w:tabs>
          <w:tab w:pos="2895" w:val="left" w:leader="none"/>
        </w:tabs>
        <w:spacing w:before="34"/>
        <w:ind w:left="2033"/>
      </w:pPr>
      <w:r>
        <w:rPr/>
        <w:t>图</w:t>
      </w:r>
      <w:r>
        <w:rPr>
          <w:spacing w:val="-59"/>
        </w:rPr>
        <w:t> </w:t>
      </w:r>
      <w:r>
        <w:rPr>
          <w:rFonts w:ascii="Times New Roman" w:eastAsia="Times New Roman"/>
        </w:rPr>
        <w:t>5-1</w:t>
        <w:tab/>
      </w:r>
      <w:r>
        <w:rPr>
          <w:w w:val="95"/>
        </w:rPr>
        <w:t>施工期主要工艺流程及产污环节图</w:t>
      </w:r>
    </w:p>
    <w:p>
      <w:pPr>
        <w:pStyle w:val="BodyText"/>
        <w:spacing w:line="355" w:lineRule="auto" w:before="135"/>
        <w:ind w:left="718" w:right="132"/>
      </w:pPr>
      <w:r>
        <w:rPr/>
        <w:t>施工场地：本项目不在现场拌合沥青及混凝土，均采用车辆外运的方式。临时堆土场：本项目开挖的弃土和破除路面产生的废土石方临时堆放于两</w:t>
      </w:r>
    </w:p>
    <w:p>
      <w:pPr>
        <w:pStyle w:val="BodyText"/>
        <w:spacing w:before="38"/>
        <w:ind w:left="238"/>
      </w:pPr>
      <w:r>
        <w:rPr/>
        <w:t>侧，当天及时清运。</w:t>
      </w:r>
    </w:p>
    <w:p>
      <w:pPr>
        <w:pStyle w:val="BodyText"/>
        <w:spacing w:line="357" w:lineRule="auto" w:before="152"/>
        <w:ind w:left="238" w:right="221" w:firstLine="479"/>
      </w:pPr>
      <w:r>
        <w:rPr>
          <w:spacing w:val="-9"/>
        </w:rPr>
        <w:t>施工便道：项目区所在地交通便利，施工期间可利用已有道路运输，不新</w:t>
      </w:r>
      <w:r>
        <w:rPr>
          <w:spacing w:val="-1"/>
        </w:rPr>
        <w:t>增施工便道。</w:t>
      </w:r>
    </w:p>
    <w:p>
      <w:pPr>
        <w:pStyle w:val="BodyText"/>
        <w:spacing w:before="34"/>
        <w:ind w:left="718"/>
      </w:pPr>
      <w:r>
        <w:rPr/>
        <w:t>施工营地：本项目不设置施工营地，施工人员住宿通过租赁附近房屋。 </w:t>
      </w:r>
    </w:p>
    <w:p>
      <w:pPr>
        <w:pStyle w:val="Heading3"/>
        <w:spacing w:before="154"/>
        <w:ind w:left="720"/>
      </w:pPr>
      <w:r>
        <w:rPr>
          <w:rFonts w:ascii="Times New Roman" w:eastAsia="Times New Roman"/>
          <w:w w:val="95"/>
        </w:rPr>
        <w:t>2</w:t>
      </w:r>
      <w:r>
        <w:rPr>
          <w:w w:val="95"/>
        </w:rPr>
        <w:t>、运营期工艺流程简述</w:t>
      </w:r>
    </w:p>
    <w:p>
      <w:pPr>
        <w:pStyle w:val="BodyText"/>
        <w:spacing w:line="357" w:lineRule="auto" w:before="133"/>
        <w:ind w:left="238" w:right="221" w:firstLine="479"/>
      </w:pPr>
      <w:r>
        <w:rPr>
          <w:spacing w:val="-6"/>
        </w:rPr>
        <w:t>本项目营运期主要污染因素包括：汽车尾气、路面径流、交通噪声、路面</w:t>
      </w:r>
      <w:r>
        <w:rPr>
          <w:spacing w:val="-8"/>
        </w:rPr>
        <w:t>垃圾和运输过程中可能带来的环境风险，项目营运期产污环节图见图 </w:t>
      </w:r>
      <w:r>
        <w:rPr>
          <w:rFonts w:ascii="Times New Roman" w:eastAsia="Times New Roman"/>
        </w:rPr>
        <w:t>5-2</w:t>
      </w:r>
      <w:r>
        <w:rPr/>
        <w:t>。</w:t>
      </w:r>
    </w:p>
    <w:p>
      <w:pPr>
        <w:spacing w:after="0" w:line="357" w:lineRule="auto"/>
        <w:sectPr>
          <w:type w:val="continuous"/>
          <w:pgSz w:w="11910" w:h="16850"/>
          <w:pgMar w:top="1600" w:bottom="2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00"/>
        <w:gridCol w:w="1516"/>
        <w:gridCol w:w="542"/>
        <w:gridCol w:w="542"/>
        <w:gridCol w:w="1601"/>
        <w:gridCol w:w="2088"/>
      </w:tblGrid>
      <w:tr>
        <w:trPr>
          <w:trHeight w:val="393" w:hRule="exact"/>
        </w:trPr>
        <w:tc>
          <w:tcPr>
            <w:tcW w:w="3516" w:type="dxa"/>
            <w:gridSpan w:val="2"/>
            <w:tcBorders>
              <w:bottom w:val="nil"/>
              <w:right w:val="single" w:sz="1" w:space="0" w:color="000000"/>
            </w:tcBorders>
          </w:tcPr>
          <w:p>
            <w:pPr/>
          </w:p>
        </w:tc>
        <w:tc>
          <w:tcPr>
            <w:tcW w:w="1084" w:type="dxa"/>
            <w:gridSpan w:val="2"/>
            <w:tcBorders>
              <w:left w:val="single" w:sz="1" w:space="0" w:color="000000"/>
              <w:bottom w:val="single" w:sz="1" w:space="0" w:color="000000"/>
              <w:right w:val="single" w:sz="1" w:space="0" w:color="000000"/>
            </w:tcBorders>
          </w:tcPr>
          <w:p>
            <w:pPr>
              <w:pStyle w:val="TableParagraph"/>
              <w:spacing w:before="54"/>
              <w:ind w:left="286"/>
              <w:jc w:val="left"/>
              <w:rPr>
                <w:sz w:val="17"/>
              </w:rPr>
            </w:pPr>
            <w:r>
              <w:rPr>
                <w:w w:val="95"/>
                <w:sz w:val="17"/>
              </w:rPr>
              <w:t>营运期</w:t>
            </w:r>
          </w:p>
        </w:tc>
        <w:tc>
          <w:tcPr>
            <w:tcW w:w="3689" w:type="dxa"/>
            <w:gridSpan w:val="2"/>
            <w:tcBorders>
              <w:left w:val="single" w:sz="1" w:space="0" w:color="000000"/>
              <w:bottom w:val="nil"/>
            </w:tcBorders>
          </w:tcPr>
          <w:p>
            <w:pPr/>
          </w:p>
        </w:tc>
      </w:tr>
      <w:tr>
        <w:trPr>
          <w:trHeight w:val="149" w:hRule="exact"/>
        </w:trPr>
        <w:tc>
          <w:tcPr>
            <w:tcW w:w="4058" w:type="dxa"/>
            <w:gridSpan w:val="3"/>
            <w:tcBorders>
              <w:top w:val="nil"/>
              <w:bottom w:val="nil"/>
              <w:right w:val="single" w:sz="1" w:space="0" w:color="000000"/>
            </w:tcBorders>
          </w:tcPr>
          <w:p>
            <w:pPr/>
          </w:p>
        </w:tc>
        <w:tc>
          <w:tcPr>
            <w:tcW w:w="4231" w:type="dxa"/>
            <w:gridSpan w:val="3"/>
            <w:tcBorders>
              <w:top w:val="nil"/>
              <w:left w:val="single" w:sz="1" w:space="0" w:color="000000"/>
              <w:bottom w:val="nil"/>
            </w:tcBorders>
          </w:tcPr>
          <w:p>
            <w:pPr/>
          </w:p>
        </w:tc>
      </w:tr>
      <w:tr>
        <w:trPr>
          <w:trHeight w:val="414" w:hRule="exact"/>
        </w:trPr>
        <w:tc>
          <w:tcPr>
            <w:tcW w:w="2000" w:type="dxa"/>
            <w:tcBorders>
              <w:top w:val="nil"/>
              <w:bottom w:val="nil"/>
              <w:right w:val="single" w:sz="1" w:space="0" w:color="000000"/>
            </w:tcBorders>
          </w:tcPr>
          <w:p>
            <w:pPr/>
          </w:p>
        </w:tc>
        <w:tc>
          <w:tcPr>
            <w:tcW w:w="2058" w:type="dxa"/>
            <w:gridSpan w:val="2"/>
            <w:tcBorders>
              <w:top w:val="single" w:sz="1" w:space="0" w:color="000000"/>
              <w:left w:val="single" w:sz="1" w:space="0" w:color="000000"/>
              <w:bottom w:val="nil"/>
              <w:right w:val="single" w:sz="1" w:space="0" w:color="000000"/>
            </w:tcBorders>
          </w:tcPr>
          <w:p>
            <w:pPr/>
          </w:p>
        </w:tc>
        <w:tc>
          <w:tcPr>
            <w:tcW w:w="2143" w:type="dxa"/>
            <w:gridSpan w:val="2"/>
            <w:tcBorders>
              <w:top w:val="single" w:sz="1" w:space="0" w:color="000000"/>
              <w:left w:val="single" w:sz="1" w:space="0" w:color="000000"/>
              <w:bottom w:val="nil"/>
              <w:right w:val="single" w:sz="1" w:space="0" w:color="000000"/>
            </w:tcBorders>
          </w:tcPr>
          <w:p>
            <w:pPr/>
          </w:p>
        </w:tc>
        <w:tc>
          <w:tcPr>
            <w:tcW w:w="2088" w:type="dxa"/>
            <w:tcBorders>
              <w:top w:val="nil"/>
              <w:left w:val="single" w:sz="1" w:space="0" w:color="000000"/>
              <w:bottom w:val="nil"/>
            </w:tcBorders>
          </w:tcPr>
          <w:p>
            <w:pPr/>
          </w:p>
        </w:tc>
      </w:tr>
      <w:tr>
        <w:trPr>
          <w:trHeight w:val="12967" w:hRule="exact"/>
        </w:trPr>
        <w:tc>
          <w:tcPr>
            <w:tcW w:w="8289" w:type="dxa"/>
            <w:gridSpan w:val="6"/>
            <w:tcBorders>
              <w:top w:val="nil"/>
            </w:tcBorders>
          </w:tcPr>
          <w:p>
            <w:pPr>
              <w:pStyle w:val="TableParagraph"/>
              <w:tabs>
                <w:tab w:pos="1969" w:val="left" w:leader="none"/>
                <w:tab w:pos="4112" w:val="left" w:leader="none"/>
              </w:tabs>
              <w:spacing w:before="106"/>
              <w:ind w:left="80"/>
              <w:rPr>
                <w:sz w:val="17"/>
              </w:rPr>
            </w:pPr>
            <w:r>
              <w:rPr>
                <w:sz w:val="17"/>
              </w:rPr>
              <w:t>道路</w:t>
              <w:tab/>
              <w:t>运营车辆</w:t>
              <w:tab/>
            </w:r>
            <w:r>
              <w:rPr>
                <w:w w:val="95"/>
                <w:sz w:val="17"/>
              </w:rPr>
              <w:t>事故风险</w:t>
            </w:r>
          </w:p>
          <w:p>
            <w:pPr>
              <w:pStyle w:val="TableParagraph"/>
              <w:jc w:val="left"/>
              <w:rPr>
                <w:sz w:val="16"/>
              </w:rPr>
            </w:pPr>
          </w:p>
          <w:p>
            <w:pPr>
              <w:pStyle w:val="TableParagraph"/>
              <w:jc w:val="left"/>
              <w:rPr>
                <w:sz w:val="16"/>
              </w:rPr>
            </w:pPr>
          </w:p>
          <w:p>
            <w:pPr>
              <w:pStyle w:val="TableParagraph"/>
              <w:jc w:val="left"/>
              <w:rPr>
                <w:sz w:val="16"/>
              </w:rPr>
            </w:pPr>
          </w:p>
          <w:p>
            <w:pPr>
              <w:pStyle w:val="TableParagraph"/>
              <w:spacing w:before="5"/>
              <w:jc w:val="left"/>
              <w:rPr>
                <w:sz w:val="11"/>
              </w:rPr>
            </w:pPr>
          </w:p>
          <w:p>
            <w:pPr>
              <w:pStyle w:val="TableParagraph"/>
              <w:tabs>
                <w:tab w:pos="2074" w:val="left" w:leader="none"/>
                <w:tab w:pos="3627" w:val="left" w:leader="none"/>
                <w:tab w:pos="5196" w:val="left" w:leader="none"/>
                <w:tab w:pos="6774" w:val="left" w:leader="none"/>
              </w:tabs>
              <w:ind w:left="511"/>
              <w:jc w:val="left"/>
              <w:rPr>
                <w:sz w:val="17"/>
              </w:rPr>
            </w:pPr>
            <w:r>
              <w:rPr>
                <w:sz w:val="17"/>
              </w:rPr>
              <w:t>社会环境影响</w:t>
              <w:tab/>
              <w:t>声环境影响</w:t>
              <w:tab/>
              <w:t>水环境影响</w:t>
              <w:tab/>
              <w:t>大气环境影响</w:t>
              <w:tab/>
            </w:r>
            <w:r>
              <w:rPr>
                <w:w w:val="95"/>
                <w:sz w:val="17"/>
              </w:rPr>
              <w:t>固体环境影响</w:t>
            </w:r>
          </w:p>
          <w:p>
            <w:pPr>
              <w:pStyle w:val="TableParagraph"/>
              <w:jc w:val="left"/>
              <w:rPr>
                <w:sz w:val="16"/>
              </w:rPr>
            </w:pPr>
          </w:p>
          <w:p>
            <w:pPr>
              <w:pStyle w:val="TableParagraph"/>
              <w:spacing w:before="8"/>
              <w:jc w:val="left"/>
              <w:rPr>
                <w:sz w:val="13"/>
              </w:rPr>
            </w:pPr>
          </w:p>
          <w:p>
            <w:pPr>
              <w:pStyle w:val="TableParagraph"/>
              <w:tabs>
                <w:tab w:pos="3662" w:val="left" w:leader="none"/>
              </w:tabs>
              <w:spacing w:before="1"/>
              <w:ind w:left="2681"/>
              <w:jc w:val="left"/>
              <w:rPr>
                <w:b/>
                <w:sz w:val="24"/>
              </w:rPr>
            </w:pPr>
            <w:r>
              <w:rPr>
                <w:b/>
                <w:sz w:val="24"/>
              </w:rPr>
              <w:t>图</w:t>
            </w:r>
            <w:r>
              <w:rPr>
                <w:b/>
                <w:spacing w:val="-60"/>
                <w:sz w:val="24"/>
              </w:rPr>
              <w:t> </w:t>
            </w:r>
            <w:r>
              <w:rPr>
                <w:rFonts w:ascii="Times New Roman" w:eastAsia="Times New Roman"/>
                <w:b/>
                <w:sz w:val="24"/>
              </w:rPr>
              <w:t>5-2</w:t>
              <w:tab/>
            </w:r>
            <w:r>
              <w:rPr>
                <w:b/>
                <w:sz w:val="24"/>
              </w:rPr>
              <w:t>项目营运期产污环节图</w:t>
            </w:r>
          </w:p>
          <w:p>
            <w:pPr>
              <w:pStyle w:val="TableParagraph"/>
              <w:spacing w:before="196"/>
              <w:ind w:left="583"/>
              <w:jc w:val="left"/>
              <w:rPr>
                <w:b/>
                <w:sz w:val="24"/>
              </w:rPr>
            </w:pPr>
            <w:r>
              <w:rPr>
                <w:rFonts w:ascii="Times New Roman" w:eastAsia="Times New Roman"/>
                <w:b/>
                <w:w w:val="95"/>
                <w:sz w:val="24"/>
              </w:rPr>
              <w:t>3</w:t>
            </w:r>
            <w:r>
              <w:rPr>
                <w:b/>
                <w:w w:val="95"/>
                <w:sz w:val="24"/>
              </w:rPr>
              <w:t>、产污小结：</w:t>
            </w:r>
          </w:p>
          <w:p>
            <w:pPr>
              <w:pStyle w:val="TableParagraph"/>
              <w:spacing w:line="367" w:lineRule="auto" w:before="160"/>
              <w:ind w:left="100" w:right="99" w:firstLine="479"/>
              <w:jc w:val="both"/>
              <w:rPr>
                <w:sz w:val="24"/>
              </w:rPr>
            </w:pPr>
            <w:r>
              <w:rPr>
                <w:spacing w:val="-9"/>
                <w:sz w:val="24"/>
              </w:rPr>
              <w:t>由上述工艺分析可知，本项目污染物产生主要分为施工期产污和营运期产污，小结如下：</w:t>
            </w:r>
          </w:p>
          <w:p>
            <w:pPr>
              <w:pStyle w:val="TableParagraph"/>
              <w:spacing w:before="38"/>
              <w:ind w:left="580" w:right="-17"/>
              <w:jc w:val="left"/>
              <w:rPr>
                <w:sz w:val="24"/>
              </w:rPr>
            </w:pPr>
            <w:r>
              <w:rPr>
                <w:spacing w:val="-15"/>
                <w:sz w:val="24"/>
              </w:rPr>
              <w:t>施工期：施工扬尘、机械废气、沥青烟；施工废水、生活污水；施工噪声；</w:t>
            </w:r>
          </w:p>
          <w:p>
            <w:pPr>
              <w:pStyle w:val="TableParagraph"/>
              <w:spacing w:before="165"/>
              <w:ind w:left="80" w:right="5750"/>
              <w:rPr>
                <w:sz w:val="24"/>
              </w:rPr>
            </w:pPr>
            <w:r>
              <w:rPr>
                <w:sz w:val="24"/>
              </w:rPr>
              <w:t>弃土弃渣、生活垃圾。</w:t>
            </w:r>
          </w:p>
          <w:p>
            <w:pPr>
              <w:pStyle w:val="TableParagraph"/>
              <w:spacing w:before="21"/>
              <w:ind w:left="580"/>
              <w:jc w:val="left"/>
              <w:rPr>
                <w:sz w:val="24"/>
              </w:rPr>
            </w:pPr>
            <w:r>
              <w:rPr>
                <w:sz w:val="24"/>
              </w:rPr>
              <w:t>营运期：汽车尾气；路面径流；交通噪声；固体废物。</w:t>
            </w:r>
          </w:p>
          <w:p>
            <w:pPr>
              <w:pStyle w:val="TableParagraph"/>
              <w:spacing w:before="153"/>
              <w:ind w:left="583"/>
              <w:jc w:val="left"/>
              <w:rPr>
                <w:b/>
                <w:sz w:val="24"/>
              </w:rPr>
            </w:pPr>
            <w:r>
              <w:rPr>
                <w:rFonts w:ascii="Times New Roman" w:eastAsia="Times New Roman"/>
                <w:b/>
                <w:w w:val="95"/>
                <w:sz w:val="24"/>
              </w:rPr>
              <w:t>4.</w:t>
            </w:r>
            <w:r>
              <w:rPr>
                <w:b/>
                <w:w w:val="95"/>
                <w:sz w:val="24"/>
              </w:rPr>
              <w:t>施工组织方案及交通组织</w:t>
            </w:r>
          </w:p>
          <w:p>
            <w:pPr>
              <w:pStyle w:val="TableParagraph"/>
              <w:spacing w:before="132"/>
              <w:ind w:left="583"/>
              <w:jc w:val="left"/>
              <w:rPr>
                <w:b/>
                <w:sz w:val="24"/>
              </w:rPr>
            </w:pPr>
            <w:r>
              <w:rPr>
                <w:b/>
                <w:w w:val="95"/>
                <w:sz w:val="24"/>
              </w:rPr>
              <w:t>（1）施工组织</w:t>
            </w:r>
          </w:p>
          <w:p>
            <w:pPr>
              <w:pStyle w:val="TableParagraph"/>
              <w:spacing w:before="153"/>
              <w:ind w:left="580"/>
              <w:jc w:val="left"/>
              <w:rPr>
                <w:sz w:val="24"/>
              </w:rPr>
            </w:pPr>
            <w:r>
              <w:rPr>
                <w:sz w:val="24"/>
              </w:rPr>
              <w:t>1）路基工程</w:t>
            </w:r>
          </w:p>
          <w:p>
            <w:pPr>
              <w:pStyle w:val="TableParagraph"/>
              <w:spacing w:line="357" w:lineRule="auto" w:before="151"/>
              <w:ind w:left="100" w:right="99" w:firstLine="479"/>
              <w:jc w:val="both"/>
              <w:rPr>
                <w:sz w:val="24"/>
              </w:rPr>
            </w:pPr>
            <w:r>
              <w:rPr>
                <w:spacing w:val="-5"/>
                <w:sz w:val="24"/>
              </w:rPr>
              <w:t>本项目路基土石方工程以机械为主，辅以人工施工，技术要求高，施工队</w:t>
            </w:r>
            <w:r>
              <w:rPr>
                <w:spacing w:val="-11"/>
                <w:sz w:val="24"/>
              </w:rPr>
              <w:t>伍机械化程度较高。挖方工程路段布以推土机或挖掘机作业，配以装载机和自</w:t>
            </w:r>
            <w:r>
              <w:rPr>
                <w:spacing w:val="-15"/>
                <w:sz w:val="24"/>
              </w:rPr>
              <w:t>卸翻斗车转运至填方路段；填方工程以装载机或推土机伴以人工平整，分层碾</w:t>
            </w:r>
            <w:r>
              <w:rPr>
                <w:spacing w:val="-1"/>
                <w:sz w:val="24"/>
              </w:rPr>
              <w:t>压密实。</w:t>
            </w:r>
          </w:p>
          <w:p>
            <w:pPr>
              <w:pStyle w:val="TableParagraph"/>
              <w:spacing w:line="357" w:lineRule="auto" w:before="36"/>
              <w:ind w:left="100" w:right="100" w:firstLine="479"/>
              <w:jc w:val="both"/>
              <w:rPr>
                <w:sz w:val="24"/>
              </w:rPr>
            </w:pPr>
            <w:r>
              <w:rPr>
                <w:spacing w:val="-6"/>
                <w:sz w:val="24"/>
              </w:rPr>
              <w:t>本项目沿线地势平坦，无大开挖路段，路基挖方路段布置多个作业面，以</w:t>
            </w:r>
            <w:r>
              <w:rPr>
                <w:spacing w:val="-12"/>
                <w:sz w:val="24"/>
              </w:rPr>
              <w:t>推土机或挖掘机作业，配以铲运机、装载机和自卸翻斗车转运至填方段，挖方施工时，挖方边坡按设计要求合理放坡。</w:t>
            </w:r>
          </w:p>
          <w:p>
            <w:pPr>
              <w:pStyle w:val="TableParagraph"/>
              <w:spacing w:line="357" w:lineRule="auto" w:before="33"/>
              <w:ind w:left="100" w:right="100" w:firstLine="479"/>
              <w:jc w:val="both"/>
              <w:rPr>
                <w:sz w:val="24"/>
              </w:rPr>
            </w:pPr>
            <w:r>
              <w:rPr>
                <w:spacing w:val="-5"/>
                <w:sz w:val="24"/>
              </w:rPr>
              <w:t>填方路基严格按照有关规定选择调料，填料分层摊铺，分层碾压密实。为</w:t>
            </w:r>
            <w:r>
              <w:rPr>
                <w:spacing w:val="-12"/>
                <w:sz w:val="24"/>
              </w:rPr>
              <w:t>有效利用项目开挖土石方，路基填筑料充分利用路基施工开挖土石方和部分管</w:t>
            </w:r>
            <w:r>
              <w:rPr>
                <w:spacing w:val="-14"/>
                <w:sz w:val="24"/>
              </w:rPr>
              <w:t>线施工多余土石方，将开挖土石方与外购砂及砂砾石料充分混合作为填料，以减少外购料数量和项目施工弃土。</w:t>
            </w:r>
          </w:p>
          <w:p>
            <w:pPr>
              <w:pStyle w:val="TableParagraph"/>
              <w:spacing w:before="33"/>
              <w:ind w:left="580"/>
              <w:jc w:val="left"/>
              <w:rPr>
                <w:sz w:val="24"/>
              </w:rPr>
            </w:pPr>
            <w:r>
              <w:rPr>
                <w:sz w:val="24"/>
              </w:rPr>
              <w:t>2）路面工程</w:t>
            </w:r>
          </w:p>
          <w:p>
            <w:pPr>
              <w:pStyle w:val="TableParagraph"/>
              <w:spacing w:line="355" w:lineRule="auto" w:before="153"/>
              <w:ind w:left="100" w:right="100" w:firstLine="479"/>
              <w:jc w:val="both"/>
              <w:rPr>
                <w:sz w:val="24"/>
              </w:rPr>
            </w:pPr>
            <w:r>
              <w:rPr>
                <w:spacing w:val="-7"/>
                <w:sz w:val="24"/>
              </w:rPr>
              <w:t>本项目机动车道为沥青砼路面，沥青砼拌合料直接从当地热拌合商品砼厂</w:t>
            </w:r>
            <w:r>
              <w:rPr>
                <w:spacing w:val="-10"/>
                <w:sz w:val="24"/>
              </w:rPr>
              <w:t>购买，底基层、基层均用摊铺机分层摊铺，压路机压实，各面层采用洒布机喷</w:t>
            </w:r>
          </w:p>
        </w:tc>
      </w:tr>
    </w:tbl>
    <w:p>
      <w:pPr>
        <w:rPr>
          <w:sz w:val="2"/>
          <w:szCs w:val="2"/>
        </w:rPr>
      </w:pPr>
      <w:r>
        <w:rPr/>
        <w:pict>
          <v:group style="position:absolute;margin-left:110.972153pt;margin-top:122.749527pt;width:372.85pt;height:70.7pt;mso-position-horizontal-relative:page;mso-position-vertical-relative:page;z-index:-198088" coordorigin="2219,2455" coordsize="7457,1414">
            <v:shape style="position:absolute;left:27;top:14808;width:3685;height:1975" coordorigin="27,14808" coordsize="3685,1975" path="m3810,3850l4819,3850,4819,3463,3810,3463,3810,3850xm2221,3855l3450,3855,3450,3458,2221,3458,2221,3855xm3350,2843l4269,2843,4269,2471,3350,2471,3350,2843xm3810,2843l2926,3401e" filled="false" stroked="true" strokeweight=".168734pt" strokecolor="#000000">
              <v:path arrowok="t"/>
              <v:stroke dashstyle="solid"/>
            </v:shape>
            <v:shape style="position:absolute;left:2836;top:3363;width:120;height:95" coordorigin="2836,3363" coordsize="120,95" path="m2914,3363l2836,3458,2955,3428,2914,3363xe" filled="true" fillcolor="#000000" stroked="false">
              <v:path arrowok="t"/>
              <v:fill type="solid"/>
            </v:shape>
            <v:shape style="position:absolute;left:2281;top:14788;width:3728;height:1987" coordorigin="2281,14788" coordsize="3728,1987" path="m5298,3850l6437,3850,6437,3463,5298,3463,5298,3850xm5360,2857l6376,2857,6376,2457,5360,2457,5360,2857xm3810,2843l5765,3432e" filled="false" stroked="true" strokeweight=".168734pt" strokecolor="#000000">
              <v:path arrowok="t"/>
              <v:stroke dashstyle="solid"/>
            </v:shape>
            <v:shape style="position:absolute;left:5745;top:3392;width:124;height:75" coordorigin="5745,3392" coordsize="124,75" path="m5767,3392l5745,3466,5868,3463,5767,3392xe" filled="true" fillcolor="#000000" stroked="false">
              <v:path arrowok="t"/>
              <v:fill type="solid"/>
            </v:shape>
            <v:shape style="position:absolute;left:5201;top:14808;width:5400;height:1991" coordorigin="5201,14808" coordsize="5400,1991" path="m6977,3867l8066,3867,8066,3439,6977,3439,6977,3867xm8525,3867l9674,3867,9674,3439,8525,3439,8525,3867xm7496,2843l8525,2843,8525,2471,7496,2471,7496,2843xm5868,2857l8994,3421e" filled="false" stroked="true" strokeweight=".168734pt" strokecolor="#000000">
              <v:path arrowok="t"/>
              <v:stroke dashstyle="solid"/>
            </v:shape>
            <v:shape style="position:absolute;left:8978;top:3381;width:122;height:77" coordorigin="8978,3381" coordsize="122,77" path="m8992,3381l8978,3457,9100,3439,8992,3381xe" filled="true" fillcolor="#000000" stroked="false">
              <v:path arrowok="t"/>
              <v:fill type="solid"/>
            </v:shape>
            <v:line style="position:absolute" from="5708,2857" to="4412,3420" stroked="true" strokeweight=".168437pt" strokecolor="#000000">
              <v:stroke dashstyle="solid"/>
            </v:line>
            <v:shape style="position:absolute;left:4314;top:3381;width:123;height:82" coordorigin="4314,3381" coordsize="123,82" path="m4406,3381l4314,3463,4437,3452,4406,3381xe" filled="true" fillcolor="#000000" stroked="false">
              <v:path arrowok="t"/>
              <v:fill type="solid"/>
            </v:shape>
            <v:line style="position:absolute" from="5868,2857" to="7421,3404" stroked="true" strokeweight=".168395pt" strokecolor="#000000">
              <v:stroke dashstyle="solid"/>
            </v:line>
            <v:shape style="position:absolute;left:7398;top:3364;width:124;height:76" coordorigin="7398,3364" coordsize="124,76" path="m7424,3364l7398,3437,7521,3439,7424,3364xe" filled="true" fillcolor="#000000" stroked="false">
              <v:path arrowok="t"/>
              <v:fill type="solid"/>
            </v:shape>
            <v:line style="position:absolute" from="8011,2843" to="5971,3433" stroked="true" strokeweight=".168366pt" strokecolor="#000000">
              <v:stroke dashstyle="solid"/>
            </v:line>
            <v:shape style="position:absolute;left:5868;top:3393;width:123;height:75" coordorigin="5868,3393" coordsize="123,75" path="m5969,3393l5868,3463,5991,3468,5969,3393xe" filled="true" fillcolor="#000000" stroked="false">
              <v:path arrowok="t"/>
              <v:fill type="solid"/>
            </v:shape>
            <v:line style="position:absolute" from="8011,2843" to="7589,3357" stroked="true" strokeweight=".168819pt" strokecolor="#000000">
              <v:stroke dashstyle="solid"/>
            </v:line>
            <v:shape style="position:absolute;left:7521;top:3325;width:105;height:115" coordorigin="7521,3325" coordsize="105,115" path="m7565,3325l7521,3439,7625,3374,7565,3325xe" filled="true" fillcolor="#000000" stroked="false">
              <v:path arrowok="t"/>
              <v:fill type="solid"/>
            </v:shape>
            <w10:wrap type="none"/>
          </v:group>
        </w:pict>
      </w:r>
    </w:p>
    <w:p>
      <w:pPr>
        <w:spacing w:after="0"/>
        <w:rPr>
          <w:sz w:val="2"/>
          <w:szCs w:val="2"/>
        </w:rPr>
        <w:sectPr>
          <w:pgSz w:w="11910" w:h="16850"/>
          <w:pgMar w:header="0" w:footer="1141" w:top="1440" w:bottom="1340" w:left="1680" w:right="1680"/>
        </w:sectPr>
      </w:pPr>
    </w:p>
    <w:p>
      <w:pPr>
        <w:pStyle w:val="BodyText"/>
        <w:spacing w:line="357" w:lineRule="auto" w:before="13"/>
        <w:ind w:left="238" w:right="234"/>
        <w:jc w:val="both"/>
      </w:pPr>
      <w:r>
        <w:rPr/>
        <w:pict>
          <v:group style="position:absolute;margin-left:90.128998pt;margin-top:71.624977pt;width:415.2pt;height:698.95pt;mso-position-horizontal-relative:page;mso-position-vertical-relative:page;z-index:-198064"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洒透层油，摊铺机配以自卸车连续摊铺沥青拌合料，压路机碾压密实成型。人</w:t>
      </w:r>
      <w:r>
        <w:rPr>
          <w:spacing w:val="-14"/>
        </w:rPr>
        <w:t>行道为预制彩色透水砖铺砌路面，人行道路面施工在平整好基底层后，再按照相应施工技术规范分层夯填基层，最后进行人行道透水砖铺装。</w:t>
      </w:r>
    </w:p>
    <w:p>
      <w:pPr>
        <w:pStyle w:val="BodyText"/>
        <w:spacing w:line="355" w:lineRule="auto" w:before="35"/>
        <w:ind w:left="238" w:right="221" w:firstLine="479"/>
      </w:pPr>
      <w:r>
        <w:rPr/>
        <w:t>路面工程以采用大型机械专业化施工为主，以少量人工操作小型机械为辅。沥青混凝土路面底基层、基层、面层，均采用机械摊铺法进行施工。</w:t>
      </w:r>
    </w:p>
    <w:p>
      <w:pPr>
        <w:pStyle w:val="BodyText"/>
        <w:spacing w:before="38"/>
        <w:ind w:left="718"/>
      </w:pPr>
      <w:r>
        <w:rPr/>
        <w:t>3）管网工程</w:t>
      </w:r>
    </w:p>
    <w:p>
      <w:pPr>
        <w:pStyle w:val="BodyText"/>
        <w:spacing w:line="357" w:lineRule="auto" w:before="151"/>
        <w:ind w:left="238" w:right="235" w:firstLine="479"/>
        <w:jc w:val="both"/>
      </w:pPr>
      <w:r>
        <w:rPr>
          <w:spacing w:val="-6"/>
        </w:rPr>
        <w:t>管网工程施工划分为沟槽开挖、基础浇筑、管道安装、井室砌筑、沟槽回</w:t>
      </w:r>
      <w:r>
        <w:rPr>
          <w:spacing w:val="-11"/>
        </w:rPr>
        <w:t>填等工序，管道施工组成系统既相互联系又相互制约，因此在施工过程中应遵</w:t>
      </w:r>
      <w:r>
        <w:rPr>
          <w:spacing w:val="-10"/>
        </w:rPr>
        <w:t>循“平行流水、立体交叉”的法则来组织施工，使相关的施工阶段做到衔接紧</w:t>
      </w:r>
      <w:r>
        <w:rPr>
          <w:spacing w:val="-1"/>
        </w:rPr>
        <w:t>密、穿插有序。</w:t>
      </w:r>
    </w:p>
    <w:p>
      <w:pPr>
        <w:pStyle w:val="BodyText"/>
        <w:spacing w:before="36"/>
        <w:ind w:left="718"/>
      </w:pPr>
      <w:r>
        <w:rPr/>
        <w:t>①沟槽开挖</w:t>
      </w:r>
    </w:p>
    <w:p>
      <w:pPr>
        <w:pStyle w:val="BodyText"/>
        <w:spacing w:before="151"/>
        <w:ind w:left="718"/>
      </w:pPr>
      <w:r>
        <w:rPr/>
        <w:t>沟槽采用直槽开挖，挖土采用机械和人工结合的方法施工。</w:t>
      </w:r>
    </w:p>
    <w:p>
      <w:pPr>
        <w:pStyle w:val="BodyText"/>
        <w:spacing w:before="153"/>
        <w:ind w:left="718"/>
      </w:pPr>
      <w:r>
        <w:rPr/>
        <w:t>②基础浇筑</w:t>
      </w:r>
    </w:p>
    <w:p>
      <w:pPr>
        <w:pStyle w:val="BodyText"/>
        <w:spacing w:line="357" w:lineRule="auto" w:before="151"/>
        <w:ind w:left="238" w:right="221" w:firstLine="479"/>
      </w:pPr>
      <w:r>
        <w:rPr>
          <w:spacing w:val="-7"/>
        </w:rPr>
        <w:t>在沟槽开挖接近尾声时，迅速做好管道基础准备，迅速摊铺碎石和浇筑混凝土基础。</w:t>
      </w:r>
    </w:p>
    <w:p>
      <w:pPr>
        <w:pStyle w:val="BodyText"/>
        <w:spacing w:before="34"/>
        <w:ind w:left="718"/>
      </w:pPr>
      <w:r>
        <w:rPr/>
        <w:t>③管道安装</w:t>
      </w:r>
    </w:p>
    <w:p>
      <w:pPr>
        <w:pStyle w:val="BodyText"/>
        <w:spacing w:line="357" w:lineRule="auto" w:before="154"/>
        <w:ind w:left="238" w:right="132" w:firstLine="479"/>
      </w:pPr>
      <w:r>
        <w:rPr/>
        <w:t>垫层平基验收合格后，达到一定的强度开始安管。排管自下游排向上游。下管采用人工和汽车吊配合。管道铺设验收合格后，进行混凝土管座及接口施工，接口方法为钢丝网水泥砂浆抹带接口。</w:t>
      </w:r>
    </w:p>
    <w:p>
      <w:pPr>
        <w:pStyle w:val="BodyText"/>
        <w:spacing w:before="34"/>
        <w:ind w:left="718"/>
      </w:pPr>
      <w:r>
        <w:rPr/>
        <w:t>④井室砌筑</w:t>
      </w:r>
    </w:p>
    <w:p>
      <w:pPr>
        <w:pStyle w:val="BodyText"/>
        <w:spacing w:line="357" w:lineRule="auto" w:before="154"/>
        <w:ind w:left="238" w:right="114" w:firstLine="479"/>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4"/>
        <w:ind w:left="718"/>
      </w:pPr>
      <w:r>
        <w:rPr/>
        <w:t>⑤闭水试验</w:t>
      </w:r>
    </w:p>
    <w:p>
      <w:pPr>
        <w:pStyle w:val="BodyText"/>
        <w:spacing w:before="154"/>
        <w:ind w:left="718"/>
      </w:pPr>
      <w:r>
        <w:rPr/>
        <w:t>回填土前采用闭水法进行严密性试验。</w:t>
      </w:r>
    </w:p>
    <w:p>
      <w:pPr>
        <w:pStyle w:val="BodyText"/>
        <w:spacing w:before="154"/>
        <w:ind w:left="718"/>
      </w:pPr>
      <w:r>
        <w:rPr/>
        <w:t>⑥沟槽回填</w:t>
      </w:r>
    </w:p>
    <w:p>
      <w:pPr>
        <w:pStyle w:val="BodyText"/>
        <w:spacing w:line="357" w:lineRule="auto" w:before="151"/>
        <w:ind w:left="238" w:right="236" w:firstLine="479"/>
        <w:jc w:val="both"/>
      </w:pPr>
      <w:r>
        <w:rPr>
          <w:spacing w:val="-5"/>
        </w:rPr>
        <w:t>主体结构隐蔽验收合格后及时进行回填，以免晾槽过久造成塌方，挤坏管</w:t>
      </w:r>
      <w:r>
        <w:rPr>
          <w:spacing w:val="-11"/>
        </w:rPr>
        <w:t>道或管道接口抹带空鼓开裂。管线结构验收合格后进行回填施工，回填尽可能与沟槽开挖施工形成流水作业。</w:t>
      </w:r>
    </w:p>
    <w:p>
      <w:pPr>
        <w:pStyle w:val="BodyText"/>
        <w:spacing w:before="36"/>
        <w:ind w:left="718"/>
      </w:pPr>
      <w:r>
        <w:rPr/>
        <w:t>4）绿化工程 </w:t>
      </w:r>
    </w:p>
    <w:p>
      <w:pPr>
        <w:spacing w:after="0"/>
        <w:sectPr>
          <w:pgSz w:w="11910" w:h="16850"/>
          <w:pgMar w:header="0" w:footer="1141" w:top="1400" w:bottom="1340" w:left="1680" w:right="1680"/>
        </w:sectPr>
      </w:pPr>
    </w:p>
    <w:p>
      <w:pPr>
        <w:spacing w:line="240" w:lineRule="auto"/>
        <w:ind w:left="122" w:right="0" w:firstLine="0"/>
        <w:rPr>
          <w:sz w:val="20"/>
        </w:rPr>
      </w:pPr>
      <w:r>
        <w:rPr>
          <w:rFonts w:ascii="Times New Roman"/>
          <w:spacing w:val="-49"/>
          <w:sz w:val="20"/>
        </w:rPr>
        <w:t> </w:t>
      </w:r>
      <w:r>
        <w:rPr>
          <w:spacing w:val="-49"/>
          <w:sz w:val="20"/>
        </w:rPr>
        <w:pict>
          <v:shape style="width:414.45pt;height:679.55pt;mso-position-horizontal-relative:char;mso-position-vertical-relative:line" type="#_x0000_t202" filled="false" stroked="true" strokeweight=".71997pt" strokecolor="#000000">
            <w10:anchorlock/>
            <v:textbox inset="0,0,0,0">
              <w:txbxContent>
                <w:p>
                  <w:pPr>
                    <w:pStyle w:val="BodyText"/>
                    <w:spacing w:line="274" w:lineRule="exact"/>
                    <w:ind w:left="100" w:firstLine="479"/>
                    <w:jc w:val="both"/>
                  </w:pPr>
                  <w:r>
                    <w:rPr/>
                    <w:t>本项目绿化工程在施工时，先根据绿化地形的要求以及建设区域内原地形</w:t>
                  </w:r>
                </w:p>
                <w:p>
                  <w:pPr>
                    <w:pStyle w:val="BodyText"/>
                    <w:spacing w:line="357" w:lineRule="auto" w:before="154"/>
                    <w:ind w:left="100" w:right="93"/>
                    <w:jc w:val="both"/>
                  </w:pPr>
                  <w:r>
                    <w:rPr>
                      <w:spacing w:val="-5"/>
                    </w:rPr>
                    <w:t>地貌情况对场地进行一定的填筑平整，绿化工程可采用分段同时施工方式，以</w:t>
                  </w:r>
                  <w:r>
                    <w:rPr>
                      <w:spacing w:val="-11"/>
                    </w:rPr>
                    <w:t>缩短项目施工期和项目区地表裸露时间，在绿化建设区域场地填筑基本完成后即先回铺项目路基施工前期剥离并临时堆存的表土，随后再进行绿地植被的建设。景观绿化工程在场地填筑时需调入主线工程施工产生的废石和多余土石方， 使项目内部各项工程间土石方得以综合调配平衡可避免最终废弃土石方的产生和外借土石方，减少水土流失。</w:t>
                  </w:r>
                </w:p>
                <w:p>
                  <w:pPr>
                    <w:pStyle w:val="BodyText"/>
                    <w:spacing w:before="36"/>
                    <w:ind w:left="580"/>
                  </w:pPr>
                  <w:r>
                    <w:rPr/>
                    <w:t>5）亮化工程</w:t>
                  </w:r>
                </w:p>
                <w:p>
                  <w:pPr>
                    <w:pStyle w:val="BodyText"/>
                    <w:spacing w:before="154"/>
                    <w:ind w:left="580"/>
                  </w:pPr>
                  <w:r>
                    <w:rPr/>
                    <w:t>本项目按照城市工程设置照明工程。</w:t>
                  </w:r>
                </w:p>
                <w:p>
                  <w:pPr>
                    <w:spacing w:before="151"/>
                    <w:ind w:left="583" w:right="0" w:firstLine="0"/>
                    <w:jc w:val="left"/>
                    <w:rPr>
                      <w:b/>
                      <w:sz w:val="24"/>
                    </w:rPr>
                  </w:pPr>
                  <w:r>
                    <w:rPr>
                      <w:rFonts w:ascii="Times New Roman" w:eastAsia="Times New Roman"/>
                      <w:b/>
                      <w:w w:val="95"/>
                      <w:sz w:val="24"/>
                    </w:rPr>
                    <w:t>2</w:t>
                  </w:r>
                  <w:r>
                    <w:rPr>
                      <w:b/>
                      <w:w w:val="95"/>
                      <w:sz w:val="24"/>
                    </w:rPr>
                    <w:t>）交通组织方案</w:t>
                  </w:r>
                </w:p>
                <w:p>
                  <w:pPr>
                    <w:pStyle w:val="BodyText"/>
                    <w:spacing w:line="350" w:lineRule="auto" w:before="135"/>
                    <w:ind w:left="100" w:right="99" w:firstLine="479"/>
                    <w:jc w:val="both"/>
                  </w:pPr>
                  <w:r>
                    <w:rPr>
                      <w:spacing w:val="-9"/>
                    </w:rPr>
                    <w:t>根据现场调查，本项目在施工过程中采取全封闭施工的方式，车辆主要从</w:t>
                  </w:r>
                  <w:r>
                    <w:rPr>
                      <w:spacing w:val="-13"/>
                    </w:rPr>
                    <w:t>橄榄大道进出，施工期间不进行交通管制。建筑材料及施工设备运输安排在道路</w:t>
                  </w:r>
                  <w:r>
                    <w:rPr>
                      <w:spacing w:val="-14"/>
                    </w:rPr>
                    <w:t>运输低峰期，运输时间为上午 </w:t>
                  </w:r>
                  <w:r>
                    <w:rPr>
                      <w:rFonts w:ascii="Times New Roman" w:eastAsia="Times New Roman"/>
                    </w:rPr>
                    <w:t>10:00~12:00</w:t>
                  </w:r>
                  <w:r>
                    <w:rPr>
                      <w:spacing w:val="-15"/>
                    </w:rPr>
                    <w:t>，下午 </w:t>
                  </w:r>
                  <w:r>
                    <w:rPr>
                      <w:rFonts w:ascii="Times New Roman" w:eastAsia="Times New Roman"/>
                    </w:rPr>
                    <w:t>15:00~17:00</w:t>
                  </w:r>
                  <w:r>
                    <w:rPr/>
                    <w:t>，这段时间道路</w:t>
                  </w:r>
                  <w:r>
                    <w:rPr>
                      <w:spacing w:val="-1"/>
                    </w:rPr>
                    <w:t>交通处于低谷，不会造成交通拥堵。</w:t>
                  </w:r>
                </w:p>
              </w:txbxContent>
            </v:textbox>
            <v:stroke dashstyle="solid"/>
          </v:shape>
        </w:pict>
      </w:r>
      <w:r>
        <w:rPr>
          <w:spacing w:val="-49"/>
          <w:sz w:val="20"/>
        </w:rPr>
      </w:r>
    </w:p>
    <w:p>
      <w:pPr>
        <w:spacing w:after="0" w:line="240" w:lineRule="auto"/>
        <w:rPr>
          <w:sz w:val="20"/>
        </w:rPr>
        <w:sectPr>
          <w:pgSz w:w="11910" w:h="16850"/>
          <w:pgMar w:header="0" w:footer="1141" w:top="1440" w:bottom="1400" w:left="1680" w:right="1680"/>
        </w:sectPr>
      </w:pPr>
    </w:p>
    <w:p>
      <w:pPr>
        <w:pStyle w:val="Heading2"/>
        <w:ind w:left="290" w:right="5549"/>
        <w:jc w:val="center"/>
      </w:pPr>
      <w:r>
        <w:rPr/>
        <w:pict>
          <v:group style="position:absolute;margin-left:89.768997pt;margin-top:71.624977pt;width:415.95pt;height:683.55pt;mso-position-horizontal-relative:page;mso-position-vertical-relative:page;z-index:-198016" coordorigin="1795,1432" coordsize="8319,13671">
            <v:line style="position:absolute" from="1817,1447" to="10091,1447" stroked="true" strokeweight=".72pt" strokecolor="#000000">
              <v:stroke dashstyle="solid"/>
            </v:line>
            <v:line style="position:absolute" from="1810,1440" to="1810,15088" stroked="true" strokeweight=".72pt" strokecolor="#000000">
              <v:stroke dashstyle="solid"/>
            </v:line>
            <v:line style="position:absolute" from="1803,15096" to="1817,15096" stroked="true" strokeweight=".71997pt" strokecolor="#000000">
              <v:stroke dashstyle="solid"/>
            </v:line>
            <v:line style="position:absolute" from="1803,15096" to="1817,15096" stroked="true" strokeweight=".71997pt" strokecolor="#000000">
              <v:stroke dashstyle="solid"/>
            </v:line>
            <v:line style="position:absolute" from="1817,15096" to="10091,15096" stroked="true" strokeweight=".71997pt" strokecolor="#000000">
              <v:stroke dashstyle="solid"/>
            </v:line>
            <v:line style="position:absolute" from="10099,1440" to="10099,15088" stroked="true" strokeweight=".71997pt" strokecolor="#000000">
              <v:stroke dashstyle="solid"/>
            </v:line>
            <v:line style="position:absolute" from="10092,15096" to="10106,15096" stroked="true" strokeweight=".71997pt" strokecolor="#000000">
              <v:stroke dashstyle="solid"/>
            </v:line>
            <v:line style="position:absolute" from="10092,15096" to="10106,15096" stroked="true" strokeweight=".71997pt" strokecolor="#000000">
              <v:stroke dashstyle="solid"/>
            </v:line>
            <w10:wrap type="none"/>
          </v:group>
        </w:pict>
      </w:r>
      <w:r>
        <w:rPr>
          <w:w w:val="95"/>
        </w:rPr>
        <w:t>污染物排放及治理措施</w:t>
      </w:r>
    </w:p>
    <w:p>
      <w:pPr>
        <w:spacing w:line="357" w:lineRule="auto" w:before="186"/>
        <w:ind w:left="238" w:right="234" w:firstLine="359"/>
        <w:jc w:val="both"/>
        <w:rPr>
          <w:b/>
          <w:sz w:val="24"/>
        </w:rPr>
      </w:pPr>
      <w:r>
        <w:rPr>
          <w:sz w:val="24"/>
        </w:rPr>
        <w:t>本项目建设工程主要包括场地清理、路基工程和路面工程。</w:t>
      </w:r>
      <w:r>
        <w:rPr>
          <w:b/>
          <w:sz w:val="24"/>
        </w:rPr>
        <w:t>项目施工期未</w:t>
      </w:r>
      <w:r>
        <w:rPr>
          <w:b/>
          <w:w w:val="95"/>
          <w:sz w:val="24"/>
        </w:rPr>
        <w:t>造成环境污染事故，无环境遗留问题，项目建设所产生的不利影响得到了减  缓或消除，环境正效益良好。经调查，本项目已采取以下环境保护措施：</w:t>
      </w:r>
    </w:p>
    <w:p>
      <w:pPr>
        <w:pStyle w:val="Heading3"/>
        <w:spacing w:before="35"/>
        <w:ind w:left="238"/>
      </w:pPr>
      <w:r>
        <w:rPr>
          <w:w w:val="95"/>
        </w:rPr>
        <w:t>（一）施工期污染物排放及治理措施</w:t>
      </w:r>
    </w:p>
    <w:p>
      <w:pPr>
        <w:spacing w:before="151"/>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6"/>
        <w:ind w:left="238" w:right="120" w:firstLine="482"/>
        <w:jc w:val="left"/>
        <w:rPr>
          <w:b/>
          <w:sz w:val="24"/>
        </w:rPr>
      </w:pPr>
      <w:r>
        <w:rPr>
          <w:b/>
          <w:sz w:val="24"/>
        </w:rPr>
        <w:t>本项目施工期大气污染主要来自三个方面：一是施工过程中开挖、运输 </w:t>
      </w:r>
      <w:r>
        <w:rPr>
          <w:b/>
          <w:spacing w:val="-1"/>
          <w:sz w:val="24"/>
        </w:rPr>
        <w:t>材料等产生的扬尘；二是施工机械和重型运输车辆运行过程中所排放的废气； </w:t>
      </w:r>
      <w:r>
        <w:rPr>
          <w:b/>
          <w:spacing w:val="-1"/>
          <w:w w:val="95"/>
          <w:sz w:val="24"/>
        </w:rPr>
        <w:t>三是沥青铺设过程中产生的沥青烟。</w:t>
      </w:r>
    </w:p>
    <w:p>
      <w:pPr>
        <w:spacing w:before="178"/>
        <w:ind w:left="490" w:right="0" w:firstLine="0"/>
        <w:jc w:val="left"/>
        <w:rPr>
          <w:b/>
          <w:sz w:val="24"/>
        </w:rPr>
      </w:pPr>
      <w:r>
        <w:rPr>
          <w:b/>
          <w:w w:val="95"/>
          <w:sz w:val="24"/>
        </w:rPr>
        <w:t>（1）施工扬尘</w:t>
      </w:r>
      <w:r>
        <w:rPr>
          <w:b/>
          <w:w w:val="99"/>
          <w:sz w:val="24"/>
        </w:rPr>
        <w:t> </w:t>
      </w:r>
    </w:p>
    <w:p>
      <w:pPr>
        <w:pStyle w:val="BodyText"/>
        <w:spacing w:line="357" w:lineRule="auto" w:before="22"/>
        <w:ind w:left="238" w:right="117" w:firstLine="479"/>
      </w:pPr>
      <w:r>
        <w:rPr>
          <w:spacing w:val="-15"/>
        </w:rPr>
        <w:t>根据业主提供资料，本项目外购成品混凝土，施工现场不设混凝土搅拌站， 故在土石方开挖、材料运输、平整土地等施工过程中产生扬尘，施工现场扬尘</w:t>
      </w:r>
      <w:r>
        <w:rPr>
          <w:spacing w:val="-19"/>
        </w:rPr>
        <w:t>在风力较大和干燥气候条件下较为严重，施工扬尘主要产生在以下环节：①施工机械开挖时的扬尘；②场地风力扬尘；③车辆运输过程中产生的扬尘。 </w:t>
      </w:r>
    </w:p>
    <w:p>
      <w:pPr>
        <w:pStyle w:val="BodyText"/>
        <w:spacing w:before="36"/>
        <w:ind w:left="718"/>
      </w:pPr>
      <w:r>
        <w:rPr/>
        <w:t>①机械开挖扬尘</w:t>
      </w:r>
    </w:p>
    <w:p>
      <w:pPr>
        <w:pStyle w:val="BodyText"/>
        <w:spacing w:line="338" w:lineRule="auto" w:before="151"/>
        <w:ind w:left="238" w:right="132" w:firstLine="479"/>
      </w:pPr>
      <w:r>
        <w:rPr>
          <w:spacing w:val="-1"/>
        </w:rPr>
        <w:t>施工过程中，路基土石方的开挖、表土开挖和回填会产生 </w:t>
      </w:r>
      <w:r>
        <w:rPr>
          <w:rFonts w:ascii="Times New Roman" w:eastAsia="Times New Roman"/>
        </w:rPr>
        <w:t>TSP </w:t>
      </w:r>
      <w:r>
        <w:rPr/>
        <w:t>污染，根</w:t>
      </w:r>
      <w:r>
        <w:rPr>
          <w:spacing w:val="-12"/>
        </w:rPr>
        <w:t>据已建类似工程实际调查资料，施工区下风向 </w:t>
      </w:r>
      <w:r>
        <w:rPr>
          <w:rFonts w:ascii="Times New Roman" w:eastAsia="Times New Roman"/>
        </w:rPr>
        <w:t>50m </w:t>
      </w:r>
      <w:r>
        <w:rPr>
          <w:spacing w:val="57"/>
        </w:rPr>
        <w:t>处</w:t>
      </w:r>
      <w:r>
        <w:rPr>
          <w:rFonts w:ascii="Times New Roman" w:eastAsia="Times New Roman"/>
        </w:rPr>
        <w:t>TSP </w:t>
      </w:r>
      <w:r>
        <w:rPr>
          <w:spacing w:val="-16"/>
        </w:rPr>
        <w:t>浓度为 </w:t>
      </w:r>
      <w:r>
        <w:rPr>
          <w:rFonts w:ascii="Times New Roman" w:eastAsia="Times New Roman"/>
        </w:rPr>
        <w:t>8.849mg/m</w:t>
      </w:r>
      <w:r>
        <w:rPr>
          <w:rFonts w:ascii="Times New Roman" w:eastAsia="Times New Roman"/>
          <w:position w:val="11"/>
          <w:sz w:val="16"/>
        </w:rPr>
        <w:t>3</w:t>
      </w:r>
      <w:r>
        <w:rPr/>
        <w:t>； </w:t>
      </w:r>
      <w:r>
        <w:rPr>
          <w:spacing w:val="-16"/>
        </w:rPr>
        <w:t>下风向 </w:t>
      </w:r>
      <w:r>
        <w:rPr>
          <w:rFonts w:ascii="Times New Roman" w:eastAsia="Times New Roman"/>
        </w:rPr>
        <w:t>100m </w:t>
      </w:r>
      <w:r>
        <w:rPr>
          <w:spacing w:val="-30"/>
        </w:rPr>
        <w:t>处 </w:t>
      </w:r>
      <w:r>
        <w:rPr>
          <w:rFonts w:ascii="Times New Roman" w:eastAsia="Times New Roman"/>
          <w:w w:val="99"/>
        </w:rPr>
        <w:t>TSP</w:t>
      </w:r>
      <w:r>
        <w:rPr>
          <w:rFonts w:ascii="Times New Roman" w:eastAsia="Times New Roman"/>
        </w:rPr>
        <w:t> </w:t>
      </w:r>
      <w:r>
        <w:rPr>
          <w:spacing w:val="-17"/>
        </w:rPr>
        <w:t>浓度为 </w:t>
      </w:r>
      <w:r>
        <w:rPr>
          <w:rFonts w:ascii="Times New Roman" w:eastAsia="Times New Roman"/>
        </w:rPr>
        <w:t>1.703m</w:t>
      </w:r>
      <w:r>
        <w:rPr>
          <w:rFonts w:ascii="Times New Roman" w:eastAsia="Times New Roman"/>
          <w:spacing w:val="-2"/>
        </w:rPr>
        <w:t>g</w:t>
      </w:r>
      <w:r>
        <w:rPr>
          <w:rFonts w:ascii="Times New Roman" w:eastAsia="Times New Roman"/>
        </w:rPr>
        <w:t>/</w:t>
      </w:r>
      <w:r>
        <w:rPr>
          <w:rFonts w:ascii="Times New Roman" w:eastAsia="Times New Roman"/>
          <w:spacing w:val="1"/>
        </w:rPr>
        <w:t>m</w:t>
      </w:r>
      <w:r>
        <w:rPr>
          <w:rFonts w:ascii="Times New Roman" w:eastAsia="Times New Roman"/>
          <w:spacing w:val="1"/>
          <w:w w:val="100"/>
          <w:position w:val="11"/>
          <w:sz w:val="16"/>
        </w:rPr>
        <w:t>3</w:t>
      </w:r>
      <w:r>
        <w:rPr>
          <w:spacing w:val="-24"/>
        </w:rPr>
        <w:t>，在下方向 </w:t>
      </w:r>
      <w:r>
        <w:rPr>
          <w:rFonts w:ascii="Times New Roman" w:eastAsia="Times New Roman"/>
        </w:rPr>
        <w:t>200m </w:t>
      </w:r>
      <w:r>
        <w:rPr/>
        <w:t>外达到国家环境空气</w:t>
      </w:r>
      <w:r>
        <w:rPr>
          <w:spacing w:val="-1"/>
        </w:rPr>
        <w:t>二级标准的要求。</w:t>
      </w:r>
    </w:p>
    <w:p>
      <w:pPr>
        <w:pStyle w:val="BodyText"/>
        <w:spacing w:before="52"/>
        <w:ind w:left="718"/>
      </w:pPr>
      <w:r>
        <w:rPr/>
        <w:t>②场地风力扬尘 </w:t>
      </w:r>
    </w:p>
    <w:p>
      <w:pPr>
        <w:pStyle w:val="BodyText"/>
        <w:spacing w:line="357" w:lineRule="auto" w:before="153"/>
        <w:ind w:left="238" w:right="235" w:firstLine="479"/>
        <w:jc w:val="both"/>
      </w:pPr>
      <w:r>
        <w:rPr>
          <w:spacing w:val="-4"/>
        </w:rPr>
        <w:t>露天堆场主要包括施工作业现场露天临时的建材堆放点等。在气候干燥又</w:t>
      </w:r>
      <w:r>
        <w:rPr>
          <w:spacing w:val="-11"/>
        </w:rPr>
        <w:t>有风的情况下，上述情况均会产生扬尘，其扬尘量可按堆放场起尘的经验公式</w:t>
      </w:r>
      <w:r>
        <w:rPr>
          <w:spacing w:val="-1"/>
        </w:rPr>
        <w:t>计算： </w:t>
      </w:r>
    </w:p>
    <w:p>
      <w:pPr>
        <w:pStyle w:val="BodyText"/>
        <w:spacing w:before="33"/>
        <w:ind w:left="2833"/>
        <w:rPr>
          <w:rFonts w:ascii="Times New Roman" w:eastAsia="Times New Roman"/>
        </w:rPr>
      </w:pPr>
      <w:r>
        <w:rPr>
          <w:rFonts w:ascii="Times New Roman" w:eastAsia="Times New Roman"/>
        </w:rPr>
        <w:t>Q</w:t>
      </w:r>
      <w:r>
        <w:rPr/>
        <w:t>＝</w:t>
      </w:r>
      <w:r>
        <w:rPr>
          <w:rFonts w:ascii="Times New Roman" w:eastAsia="Times New Roman"/>
        </w:rPr>
        <w:t>2.1</w:t>
      </w:r>
      <w:r>
        <w:rPr/>
        <w:t>（</w:t>
      </w:r>
      <w:r>
        <w:rPr>
          <w:rFonts w:ascii="Times New Roman" w:eastAsia="Times New Roman"/>
        </w:rPr>
        <w:t>V</w:t>
      </w:r>
      <w:r>
        <w:rPr>
          <w:rFonts w:ascii="Times New Roman" w:eastAsia="Times New Roman"/>
          <w:position w:val="-2"/>
          <w:sz w:val="16"/>
        </w:rPr>
        <w:t>50</w:t>
      </w:r>
      <w:r>
        <w:rPr>
          <w:rFonts w:ascii="Times New Roman" w:eastAsia="Times New Roman"/>
        </w:rPr>
        <w:t>-V</w:t>
      </w:r>
      <w:r>
        <w:rPr>
          <w:rFonts w:ascii="Times New Roman" w:eastAsia="Times New Roman"/>
          <w:position w:val="-2"/>
          <w:sz w:val="16"/>
        </w:rPr>
        <w:t>0</w:t>
      </w:r>
      <w:r>
        <w:rPr/>
        <w:t>）</w:t>
      </w:r>
      <w:r>
        <w:rPr>
          <w:rFonts w:ascii="Times New Roman" w:eastAsia="Times New Roman"/>
        </w:rPr>
        <w:t>3e-1.023w</w:t>
      </w:r>
    </w:p>
    <w:p>
      <w:pPr>
        <w:pStyle w:val="BodyText"/>
        <w:spacing w:before="122"/>
        <w:ind w:left="718"/>
      </w:pPr>
      <w:r>
        <w:rPr/>
        <w:t>式中：</w:t>
      </w:r>
      <w:r>
        <w:rPr>
          <w:rFonts w:ascii="Times New Roman" w:hAnsi="Times New Roman" w:eastAsia="Times New Roman"/>
        </w:rPr>
        <w:t>Q—</w:t>
      </w:r>
      <w:r>
        <w:rPr/>
        <w:t>起尘量，</w:t>
      </w:r>
      <w:r>
        <w:rPr>
          <w:rFonts w:ascii="Times New Roman" w:hAnsi="Times New Roman" w:eastAsia="Times New Roman"/>
        </w:rPr>
        <w:t>kg/t.a</w:t>
      </w:r>
      <w:r>
        <w:rPr/>
        <w:t>；</w:t>
      </w:r>
    </w:p>
    <w:p>
      <w:pPr>
        <w:pStyle w:val="BodyText"/>
        <w:spacing w:before="133"/>
        <w:ind w:left="1438"/>
      </w:pPr>
      <w:r>
        <w:rPr>
          <w:rFonts w:ascii="Times New Roman" w:hAnsi="Times New Roman" w:eastAsia="Times New Roman"/>
        </w:rPr>
        <w:t>V</w:t>
      </w:r>
      <w:r>
        <w:rPr>
          <w:rFonts w:ascii="Times New Roman" w:hAnsi="Times New Roman" w:eastAsia="Times New Roman"/>
          <w:position w:val="-2"/>
          <w:sz w:val="16"/>
        </w:rPr>
        <w:t>50</w:t>
      </w:r>
      <w:r>
        <w:rPr>
          <w:rFonts w:ascii="Times New Roman" w:hAnsi="Times New Roman" w:eastAsia="Times New Roman"/>
        </w:rPr>
        <w:t>—</w:t>
      </w:r>
      <w:r>
        <w:rPr/>
        <w:t>距地面 </w:t>
      </w:r>
      <w:r>
        <w:rPr>
          <w:rFonts w:ascii="Times New Roman" w:hAnsi="Times New Roman" w:eastAsia="Times New Roman"/>
        </w:rPr>
        <w:t>50m </w:t>
      </w:r>
      <w:r>
        <w:rPr/>
        <w:t>处风速，</w:t>
      </w:r>
      <w:r>
        <w:rPr>
          <w:rFonts w:ascii="Times New Roman" w:hAnsi="Times New Roman" w:eastAsia="Times New Roman"/>
        </w:rPr>
        <w:t>m/s</w:t>
      </w:r>
      <w:r>
        <w:rPr/>
        <w:t>；</w:t>
      </w:r>
    </w:p>
    <w:p>
      <w:pPr>
        <w:pStyle w:val="BodyText"/>
        <w:spacing w:before="123"/>
        <w:ind w:left="1438"/>
      </w:pPr>
      <w:r>
        <w:rPr>
          <w:rFonts w:ascii="Times New Roman" w:hAnsi="Times New Roman" w:eastAsia="Times New Roman"/>
        </w:rPr>
        <w:t>V</w:t>
      </w:r>
      <w:r>
        <w:rPr>
          <w:rFonts w:ascii="Times New Roman" w:hAnsi="Times New Roman" w:eastAsia="Times New Roman"/>
          <w:position w:val="-2"/>
          <w:sz w:val="16"/>
        </w:rPr>
        <w:t>0</w:t>
      </w:r>
      <w:r>
        <w:rPr>
          <w:rFonts w:ascii="Times New Roman" w:hAnsi="Times New Roman" w:eastAsia="Times New Roman"/>
        </w:rPr>
        <w:t>—</w:t>
      </w:r>
      <w:r>
        <w:rPr/>
        <w:t>起尘风速，</w:t>
      </w:r>
      <w:r>
        <w:rPr>
          <w:rFonts w:ascii="Times New Roman" w:hAnsi="Times New Roman" w:eastAsia="Times New Roman"/>
        </w:rPr>
        <w:t>m/s</w:t>
      </w:r>
      <w:r>
        <w:rPr/>
        <w:t>；</w:t>
      </w:r>
    </w:p>
    <w:p>
      <w:pPr>
        <w:pStyle w:val="BodyText"/>
        <w:spacing w:before="120"/>
        <w:ind w:left="1438"/>
      </w:pPr>
      <w:r>
        <w:rPr>
          <w:rFonts w:ascii="Times New Roman" w:hAnsi="Times New Roman" w:eastAsia="Times New Roman"/>
        </w:rPr>
        <w:t>W—</w:t>
      </w:r>
      <w:r>
        <w:rPr/>
        <w:t>尘粒含水率，</w:t>
      </w:r>
      <w:r>
        <w:rPr>
          <w:rFonts w:ascii="Times New Roman" w:hAnsi="Times New Roman" w:eastAsia="Times New Roman"/>
        </w:rPr>
        <w:t>%</w:t>
      </w:r>
      <w:r>
        <w:rPr/>
        <w:t>。</w:t>
      </w:r>
    </w:p>
    <w:p>
      <w:pPr>
        <w:pStyle w:val="BodyText"/>
        <w:spacing w:before="135"/>
        <w:ind w:left="718"/>
      </w:pPr>
      <w:r>
        <w:rPr>
          <w:rFonts w:ascii="Times New Roman" w:eastAsia="Times New Roman"/>
        </w:rPr>
        <w:t>V</w:t>
      </w:r>
      <w:r>
        <w:rPr>
          <w:rFonts w:ascii="Times New Roman" w:eastAsia="Times New Roman"/>
          <w:position w:val="-2"/>
          <w:sz w:val="16"/>
        </w:rPr>
        <w:t>0   </w:t>
      </w:r>
      <w:r>
        <w:rPr/>
        <w:t>与粒径和含水率有关，因此减少建材露天堆放时间、保证建材中一定</w:t>
      </w:r>
    </w:p>
    <w:p>
      <w:pPr>
        <w:spacing w:after="0"/>
        <w:sectPr>
          <w:pgSz w:w="11910" w:h="16850"/>
          <w:pgMar w:header="0" w:footer="1141" w:top="142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22"/>
        <w:gridCol w:w="1037"/>
        <w:gridCol w:w="1037"/>
        <w:gridCol w:w="1037"/>
        <w:gridCol w:w="1039"/>
        <w:gridCol w:w="1037"/>
        <w:gridCol w:w="1037"/>
        <w:gridCol w:w="142"/>
      </w:tblGrid>
      <w:tr>
        <w:trPr>
          <w:trHeight w:val="1911" w:hRule="exact"/>
        </w:trPr>
        <w:tc>
          <w:tcPr>
            <w:tcW w:w="8289" w:type="dxa"/>
            <w:gridSpan w:val="8"/>
            <w:tcBorders>
              <w:bottom w:val="single" w:sz="17" w:space="0" w:color="000000"/>
            </w:tcBorders>
          </w:tcPr>
          <w:p>
            <w:pPr>
              <w:pStyle w:val="TableParagraph"/>
              <w:spacing w:line="274" w:lineRule="exact"/>
              <w:ind w:left="100"/>
              <w:jc w:val="left"/>
              <w:rPr>
                <w:sz w:val="24"/>
              </w:rPr>
            </w:pPr>
            <w:r>
              <w:rPr>
                <w:sz w:val="24"/>
              </w:rPr>
              <w:t>的含水率是减少风力起尘的有效手段。</w:t>
            </w:r>
          </w:p>
          <w:p>
            <w:pPr>
              <w:pStyle w:val="TableParagraph"/>
              <w:spacing w:line="355" w:lineRule="auto" w:before="154"/>
              <w:ind w:left="100" w:right="94" w:firstLine="479"/>
              <w:jc w:val="left"/>
              <w:rPr>
                <w:sz w:val="24"/>
              </w:rPr>
            </w:pPr>
            <w:r>
              <w:rPr>
                <w:spacing w:val="-9"/>
                <w:sz w:val="24"/>
              </w:rPr>
              <w:t>据有关资料，尘粒在空气中的传播扩散情况与风速等气象条件有关，也与</w:t>
            </w:r>
            <w:r>
              <w:rPr>
                <w:spacing w:val="-12"/>
                <w:sz w:val="24"/>
              </w:rPr>
              <w:t>尘粒本身的沉降速度有关，不同尘粒的沉降速度见表 </w:t>
            </w:r>
            <w:r>
              <w:rPr>
                <w:rFonts w:ascii="Times New Roman" w:eastAsia="Times New Roman"/>
                <w:sz w:val="24"/>
              </w:rPr>
              <w:t>5-1</w:t>
            </w:r>
            <w:r>
              <w:rPr>
                <w:sz w:val="24"/>
              </w:rPr>
              <w:t>。</w:t>
            </w:r>
          </w:p>
          <w:p>
            <w:pPr>
              <w:pStyle w:val="TableParagraph"/>
              <w:tabs>
                <w:tab w:pos="3300" w:val="left" w:leader="none"/>
              </w:tabs>
              <w:spacing w:before="152"/>
              <w:ind w:left="2318"/>
              <w:jc w:val="left"/>
              <w:rPr>
                <w:b/>
                <w:sz w:val="24"/>
              </w:rPr>
            </w:pPr>
            <w:r>
              <w:rPr>
                <w:b/>
                <w:sz w:val="24"/>
              </w:rPr>
              <w:t>表</w:t>
            </w:r>
            <w:r>
              <w:rPr>
                <w:b/>
                <w:spacing w:val="-60"/>
                <w:sz w:val="24"/>
              </w:rPr>
              <w:t> </w:t>
            </w:r>
            <w:r>
              <w:rPr>
                <w:rFonts w:ascii="Times New Roman" w:eastAsia="Times New Roman"/>
                <w:b/>
                <w:sz w:val="24"/>
              </w:rPr>
              <w:t>5-1</w:t>
              <w:tab/>
            </w:r>
            <w:r>
              <w:rPr>
                <w:b/>
                <w:w w:val="95"/>
                <w:sz w:val="24"/>
              </w:rPr>
              <w:t>不同粒径尘粒的沉降速度</w:t>
            </w:r>
          </w:p>
        </w:tc>
      </w:tr>
      <w:tr>
        <w:trPr>
          <w:trHeight w:val="365" w:hRule="exact"/>
        </w:trPr>
        <w:tc>
          <w:tcPr>
            <w:tcW w:w="1922" w:type="dxa"/>
            <w:tcBorders>
              <w:top w:val="single" w:sz="17"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17"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10</w:t>
            </w:r>
          </w:p>
        </w:tc>
        <w:tc>
          <w:tcPr>
            <w:tcW w:w="1037" w:type="dxa"/>
            <w:tcBorders>
              <w:top w:val="single" w:sz="17"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20</w:t>
            </w:r>
          </w:p>
        </w:tc>
        <w:tc>
          <w:tcPr>
            <w:tcW w:w="1037" w:type="dxa"/>
            <w:tcBorders>
              <w:top w:val="single" w:sz="17"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30</w:t>
            </w:r>
          </w:p>
        </w:tc>
        <w:tc>
          <w:tcPr>
            <w:tcW w:w="1039" w:type="dxa"/>
            <w:tcBorders>
              <w:top w:val="single" w:sz="17" w:space="0" w:color="000000"/>
              <w:left w:val="single" w:sz="2"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40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50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60</w:t>
            </w:r>
          </w:p>
        </w:tc>
        <w:tc>
          <w:tcPr>
            <w:tcW w:w="142" w:type="dxa"/>
            <w:tcBorders>
              <w:top w:val="single" w:sz="17"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1"/>
              <w:jc w:val="left"/>
              <w:rPr>
                <w:rFonts w:ascii="Times New Roman"/>
                <w:sz w:val="21"/>
              </w:rPr>
            </w:pPr>
            <w:r>
              <w:rPr>
                <w:rFonts w:ascii="Times New Roman"/>
                <w:sz w:val="21"/>
              </w:rPr>
              <w:t>0.03</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0.012</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0.027</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0.048</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0.075</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0.108</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80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90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100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150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200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250</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278"/>
              <w:jc w:val="left"/>
              <w:rPr>
                <w:rFonts w:ascii="Times New Roman"/>
                <w:sz w:val="21"/>
              </w:rPr>
            </w:pPr>
            <w:r>
              <w:rPr>
                <w:rFonts w:ascii="Times New Roman"/>
                <w:sz w:val="21"/>
              </w:rPr>
              <w:t>0.158</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0.170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0.182</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0.239</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0.804</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1.005</w:t>
            </w:r>
          </w:p>
        </w:tc>
        <w:tc>
          <w:tcPr>
            <w:tcW w:w="142" w:type="dxa"/>
            <w:tcBorders>
              <w:top w:val="single" w:sz="2" w:space="0" w:color="000000"/>
              <w:left w:val="single" w:sz="4" w:space="0" w:color="000000"/>
              <w:bottom w:val="single" w:sz="2" w:space="0" w:color="000000"/>
            </w:tcBorders>
          </w:tcPr>
          <w:p>
            <w:pPr/>
          </w:p>
        </w:tc>
      </w:tr>
      <w:tr>
        <w:trPr>
          <w:trHeight w:val="344"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338" w:right="336"/>
              <w:rPr>
                <w:rFonts w:ascii="Times New Roman"/>
                <w:sz w:val="21"/>
              </w:rPr>
            </w:pPr>
            <w:r>
              <w:rPr>
                <w:rFonts w:ascii="Times New Roman"/>
                <w:sz w:val="21"/>
              </w:rPr>
              <w:t>450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550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650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750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850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950</w:t>
            </w:r>
          </w:p>
        </w:tc>
        <w:tc>
          <w:tcPr>
            <w:tcW w:w="142" w:type="dxa"/>
            <w:tcBorders>
              <w:top w:val="single" w:sz="2" w:space="0" w:color="000000"/>
              <w:left w:val="single" w:sz="4" w:space="0" w:color="000000"/>
              <w:bottom w:val="single" w:sz="2" w:space="0" w:color="000000"/>
            </w:tcBorders>
          </w:tcPr>
          <w:p>
            <w:pPr/>
          </w:p>
        </w:tc>
      </w:tr>
      <w:tr>
        <w:trPr>
          <w:trHeight w:val="367" w:hRule="exact"/>
        </w:trPr>
        <w:tc>
          <w:tcPr>
            <w:tcW w:w="1922" w:type="dxa"/>
            <w:tcBorders>
              <w:top w:val="single" w:sz="2" w:space="0" w:color="000000"/>
              <w:bottom w:val="single" w:sz="17"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17" w:space="0" w:color="000000"/>
              <w:right w:val="single" w:sz="4" w:space="0" w:color="000000"/>
            </w:tcBorders>
          </w:tcPr>
          <w:p>
            <w:pPr>
              <w:pStyle w:val="TableParagraph"/>
              <w:spacing w:before="58"/>
              <w:ind w:left="283"/>
              <w:jc w:val="left"/>
              <w:rPr>
                <w:rFonts w:ascii="Times New Roman"/>
                <w:sz w:val="21"/>
              </w:rPr>
            </w:pPr>
            <w:r>
              <w:rPr>
                <w:rFonts w:ascii="Times New Roman"/>
                <w:sz w:val="21"/>
              </w:rPr>
              <w:t>2.211</w:t>
            </w:r>
          </w:p>
        </w:tc>
        <w:tc>
          <w:tcPr>
            <w:tcW w:w="1037" w:type="dxa"/>
            <w:tcBorders>
              <w:top w:val="single" w:sz="2" w:space="0" w:color="000000"/>
              <w:left w:val="single" w:sz="4" w:space="0" w:color="000000"/>
              <w:bottom w:val="single" w:sz="17" w:space="0" w:color="000000"/>
              <w:right w:val="single" w:sz="2" w:space="0" w:color="000000"/>
            </w:tcBorders>
          </w:tcPr>
          <w:p>
            <w:pPr>
              <w:pStyle w:val="TableParagraph"/>
              <w:spacing w:before="58"/>
              <w:ind w:left="258" w:right="258"/>
              <w:rPr>
                <w:rFonts w:ascii="Times New Roman"/>
                <w:sz w:val="21"/>
              </w:rPr>
            </w:pPr>
            <w:r>
              <w:rPr>
                <w:rFonts w:ascii="Times New Roman"/>
                <w:sz w:val="21"/>
              </w:rPr>
              <w:t>2.614</w:t>
            </w:r>
          </w:p>
        </w:tc>
        <w:tc>
          <w:tcPr>
            <w:tcW w:w="1037" w:type="dxa"/>
            <w:tcBorders>
              <w:top w:val="single" w:sz="2" w:space="0" w:color="000000"/>
              <w:left w:val="single" w:sz="2" w:space="0" w:color="000000"/>
              <w:bottom w:val="single" w:sz="17" w:space="0" w:color="000000"/>
              <w:right w:val="single" w:sz="2" w:space="0" w:color="000000"/>
            </w:tcBorders>
          </w:tcPr>
          <w:p>
            <w:pPr>
              <w:pStyle w:val="TableParagraph"/>
              <w:spacing w:before="58"/>
              <w:ind w:left="259" w:right="259"/>
              <w:rPr>
                <w:rFonts w:ascii="Times New Roman"/>
                <w:sz w:val="21"/>
              </w:rPr>
            </w:pPr>
            <w:r>
              <w:rPr>
                <w:rFonts w:ascii="Times New Roman"/>
                <w:sz w:val="21"/>
              </w:rPr>
              <w:t>3.016</w:t>
            </w:r>
          </w:p>
        </w:tc>
        <w:tc>
          <w:tcPr>
            <w:tcW w:w="1039" w:type="dxa"/>
            <w:tcBorders>
              <w:top w:val="single" w:sz="2" w:space="0" w:color="000000"/>
              <w:left w:val="single" w:sz="2" w:space="0" w:color="000000"/>
              <w:bottom w:val="single" w:sz="17" w:space="0" w:color="000000"/>
              <w:right w:val="single" w:sz="4" w:space="0" w:color="000000"/>
            </w:tcBorders>
          </w:tcPr>
          <w:p>
            <w:pPr>
              <w:pStyle w:val="TableParagraph"/>
              <w:spacing w:before="58"/>
              <w:ind w:left="261" w:right="257"/>
              <w:rPr>
                <w:rFonts w:ascii="Times New Roman"/>
                <w:sz w:val="21"/>
              </w:rPr>
            </w:pPr>
            <w:r>
              <w:rPr>
                <w:rFonts w:ascii="Times New Roman"/>
                <w:sz w:val="21"/>
              </w:rPr>
              <w:t>3.418</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3.820</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4.222</w:t>
            </w:r>
          </w:p>
        </w:tc>
        <w:tc>
          <w:tcPr>
            <w:tcW w:w="142" w:type="dxa"/>
            <w:tcBorders>
              <w:top w:val="single" w:sz="2" w:space="0" w:color="000000"/>
              <w:left w:val="single" w:sz="4" w:space="0" w:color="000000"/>
              <w:bottom w:val="single" w:sz="17" w:space="0" w:color="000000"/>
            </w:tcBorders>
          </w:tcPr>
          <w:p>
            <w:pPr/>
          </w:p>
        </w:tc>
      </w:tr>
      <w:tr>
        <w:trPr>
          <w:trHeight w:val="9925" w:hRule="exact"/>
        </w:trPr>
        <w:tc>
          <w:tcPr>
            <w:tcW w:w="8289" w:type="dxa"/>
            <w:gridSpan w:val="8"/>
            <w:tcBorders>
              <w:top w:val="single" w:sz="17" w:space="0" w:color="000000"/>
            </w:tcBorders>
          </w:tcPr>
          <w:p>
            <w:pPr>
              <w:pStyle w:val="TableParagraph"/>
              <w:spacing w:line="292" w:lineRule="exact"/>
              <w:ind w:left="100" w:firstLine="479"/>
              <w:jc w:val="left"/>
              <w:rPr>
                <w:rFonts w:ascii="Times New Roman" w:eastAsia="Times New Roman"/>
                <w:sz w:val="24"/>
              </w:rPr>
            </w:pPr>
            <w:r>
              <w:rPr>
                <w:spacing w:val="-14"/>
                <w:sz w:val="24"/>
              </w:rPr>
              <w:t>由上表可知，尘粒的沉降速度随粒径的增大而迅速增大。当粒径为 </w:t>
            </w:r>
            <w:r>
              <w:rPr>
                <w:rFonts w:ascii="Times New Roman" w:eastAsia="Times New Roman"/>
                <w:sz w:val="24"/>
              </w:rPr>
              <w:t>250mm</w:t>
            </w:r>
          </w:p>
          <w:p>
            <w:pPr>
              <w:pStyle w:val="TableParagraph"/>
              <w:spacing w:line="357" w:lineRule="auto" w:before="133"/>
              <w:ind w:left="100" w:right="102"/>
              <w:jc w:val="both"/>
              <w:rPr>
                <w:sz w:val="24"/>
              </w:rPr>
            </w:pPr>
            <w:r>
              <w:rPr>
                <w:spacing w:val="-9"/>
                <w:sz w:val="24"/>
              </w:rPr>
              <w:t>时，主要影响范围在扬尘点下风向近距离范围内，而真正对外环境产生影响的</w:t>
            </w:r>
            <w:r>
              <w:rPr>
                <w:spacing w:val="-13"/>
                <w:sz w:val="24"/>
              </w:rPr>
              <w:t>是一些微小尘粒。根据施工作业现场气候的不同情况，扬尘影响范围也有所不</w:t>
            </w:r>
            <w:r>
              <w:rPr>
                <w:spacing w:val="-11"/>
                <w:sz w:val="24"/>
              </w:rPr>
              <w:t>同。施工期间施工单位若不采取措施，该部分扬尘势必对该区域环境产生一定影响。尤其是在雨水偏少时期，扬尘现象较为严重。</w:t>
            </w:r>
          </w:p>
          <w:p>
            <w:pPr>
              <w:pStyle w:val="TableParagraph"/>
              <w:spacing w:before="33"/>
              <w:ind w:left="580"/>
              <w:jc w:val="left"/>
              <w:rPr>
                <w:sz w:val="24"/>
              </w:rPr>
            </w:pPr>
            <w:r>
              <w:rPr>
                <w:sz w:val="24"/>
              </w:rPr>
              <w:t>③运输车辆扬尘 </w:t>
            </w:r>
          </w:p>
          <w:p>
            <w:pPr>
              <w:pStyle w:val="TableParagraph"/>
              <w:spacing w:line="345" w:lineRule="auto" w:before="153"/>
              <w:ind w:left="100" w:right="100" w:firstLine="479"/>
              <w:jc w:val="both"/>
              <w:rPr>
                <w:sz w:val="24"/>
              </w:rPr>
            </w:pPr>
            <w:r>
              <w:rPr>
                <w:spacing w:val="-10"/>
                <w:sz w:val="24"/>
              </w:rPr>
              <w:t>据有关调查显示，施工作业现场扬尘主要来自于运输车辆在行驶过程中产</w:t>
            </w:r>
            <w:r>
              <w:rPr>
                <w:spacing w:val="-14"/>
                <w:sz w:val="24"/>
              </w:rPr>
              <w:t>生的扬尘，其产生量约占工地扬尘总量的 </w:t>
            </w:r>
            <w:r>
              <w:rPr>
                <w:rFonts w:ascii="Times New Roman" w:eastAsia="Times New Roman"/>
                <w:sz w:val="24"/>
              </w:rPr>
              <w:t>60%</w:t>
            </w:r>
            <w:r>
              <w:rPr>
                <w:spacing w:val="-8"/>
                <w:sz w:val="24"/>
              </w:rPr>
              <w:t>。在施工建设道路完全干燥的情况下，运输车辆行驶动力起尘量可按下述经验公式计算：</w:t>
            </w:r>
          </w:p>
          <w:p>
            <w:pPr>
              <w:pStyle w:val="TableParagraph"/>
              <w:spacing w:before="47"/>
              <w:ind w:left="2273"/>
              <w:jc w:val="left"/>
              <w:rPr>
                <w:rFonts w:ascii="Times New Roman" w:eastAsia="Times New Roman"/>
                <w:sz w:val="24"/>
              </w:rPr>
            </w:pPr>
            <w:r>
              <w:rPr>
                <w:rFonts w:ascii="Times New Roman" w:eastAsia="Times New Roman"/>
                <w:sz w:val="24"/>
              </w:rPr>
              <w:t>Q</w:t>
            </w:r>
            <w:r>
              <w:rPr>
                <w:sz w:val="24"/>
              </w:rPr>
              <w:t>＝</w:t>
            </w:r>
            <w:r>
              <w:rPr>
                <w:rFonts w:ascii="Times New Roman" w:eastAsia="Times New Roman"/>
                <w:sz w:val="24"/>
              </w:rPr>
              <w:t>0.123(V/5)(W/6.8)0.85(P/0.5)0.75</w:t>
            </w:r>
          </w:p>
          <w:p>
            <w:pPr>
              <w:pStyle w:val="TableParagraph"/>
              <w:spacing w:before="133"/>
              <w:ind w:left="580"/>
              <w:jc w:val="left"/>
              <w:rPr>
                <w:sz w:val="24"/>
              </w:rPr>
            </w:pPr>
            <w:r>
              <w:rPr>
                <w:sz w:val="24"/>
              </w:rPr>
              <w:t>式中：</w:t>
            </w:r>
            <w:r>
              <w:rPr>
                <w:rFonts w:ascii="Times New Roman" w:hAnsi="Times New Roman" w:eastAsia="Times New Roman"/>
                <w:sz w:val="24"/>
              </w:rPr>
              <w:t>Q</w:t>
            </w:r>
            <w:r>
              <w:rPr>
                <w:sz w:val="24"/>
              </w:rPr>
              <w:t>—汽车行驶时的扬尘，</w:t>
            </w:r>
            <w:r>
              <w:rPr>
                <w:rFonts w:ascii="Times New Roman" w:hAnsi="Times New Roman" w:eastAsia="Times New Roman"/>
                <w:sz w:val="24"/>
              </w:rPr>
              <w:t>kg/km</w:t>
            </w:r>
            <w:r>
              <w:rPr>
                <w:rFonts w:ascii="MS Gothic" w:hAnsi="MS Gothic" w:eastAsia="MS Gothic" w:hint="eastAsia"/>
                <w:sz w:val="24"/>
              </w:rPr>
              <w:t>・</w:t>
            </w:r>
            <w:r>
              <w:rPr>
                <w:sz w:val="24"/>
              </w:rPr>
              <w:t>辆；</w:t>
            </w:r>
          </w:p>
          <w:p>
            <w:pPr>
              <w:pStyle w:val="TableParagraph"/>
              <w:spacing w:before="136"/>
              <w:ind w:left="1300"/>
              <w:jc w:val="left"/>
              <w:rPr>
                <w:sz w:val="24"/>
              </w:rPr>
            </w:pPr>
            <w:r>
              <w:rPr>
                <w:rFonts w:ascii="Times New Roman" w:hAnsi="Times New Roman" w:eastAsia="Times New Roman"/>
                <w:sz w:val="24"/>
              </w:rPr>
              <w:t>V</w:t>
            </w:r>
            <w:r>
              <w:rPr>
                <w:sz w:val="24"/>
              </w:rPr>
              <w:t>—汽车速度，</w:t>
            </w:r>
            <w:r>
              <w:rPr>
                <w:rFonts w:ascii="Times New Roman" w:hAnsi="Times New Roman" w:eastAsia="Times New Roman"/>
                <w:sz w:val="24"/>
              </w:rPr>
              <w:t>km/h</w:t>
            </w:r>
            <w:r>
              <w:rPr>
                <w:sz w:val="24"/>
              </w:rPr>
              <w:t>；</w:t>
            </w:r>
          </w:p>
          <w:p>
            <w:pPr>
              <w:pStyle w:val="TableParagraph"/>
              <w:spacing w:before="133"/>
              <w:ind w:left="1300"/>
              <w:jc w:val="left"/>
              <w:rPr>
                <w:sz w:val="24"/>
              </w:rPr>
            </w:pPr>
            <w:r>
              <w:rPr>
                <w:rFonts w:ascii="Times New Roman" w:hAnsi="Times New Roman" w:eastAsia="Times New Roman"/>
                <w:sz w:val="24"/>
              </w:rPr>
              <w:t>W</w:t>
            </w:r>
            <w:r>
              <w:rPr>
                <w:sz w:val="24"/>
              </w:rPr>
              <w:t>—汽车载重量，</w:t>
            </w:r>
            <w:r>
              <w:rPr>
                <w:rFonts w:ascii="Times New Roman" w:hAnsi="Times New Roman" w:eastAsia="Times New Roman"/>
                <w:sz w:val="24"/>
              </w:rPr>
              <w:t>t</w:t>
            </w:r>
            <w:r>
              <w:rPr>
                <w:sz w:val="24"/>
              </w:rPr>
              <w:t>；</w:t>
            </w:r>
          </w:p>
          <w:p>
            <w:pPr>
              <w:pStyle w:val="TableParagraph"/>
              <w:spacing w:before="136"/>
              <w:ind w:left="1300"/>
              <w:jc w:val="left"/>
              <w:rPr>
                <w:sz w:val="24"/>
              </w:rPr>
            </w:pPr>
            <w:r>
              <w:rPr>
                <w:rFonts w:ascii="Times New Roman" w:hAnsi="Times New Roman" w:eastAsia="Times New Roman"/>
                <w:sz w:val="24"/>
              </w:rPr>
              <w:t>P</w:t>
            </w:r>
            <w:r>
              <w:rPr>
                <w:sz w:val="24"/>
              </w:rPr>
              <w:t>—道路表面粉尘量，</w:t>
            </w:r>
            <w:r>
              <w:rPr>
                <w:rFonts w:ascii="Times New Roman" w:hAnsi="Times New Roman" w:eastAsia="Times New Roman"/>
                <w:sz w:val="24"/>
              </w:rPr>
              <w:t>kg/m</w:t>
            </w:r>
            <w:r>
              <w:rPr>
                <w:rFonts w:ascii="Times New Roman" w:hAnsi="Times New Roman" w:eastAsia="Times New Roman"/>
                <w:position w:val="11"/>
                <w:sz w:val="16"/>
              </w:rPr>
              <w:t>2</w:t>
            </w:r>
            <w:r>
              <w:rPr>
                <w:sz w:val="24"/>
              </w:rPr>
              <w:t>。</w:t>
            </w:r>
          </w:p>
          <w:p>
            <w:pPr>
              <w:pStyle w:val="TableParagraph"/>
              <w:spacing w:before="133"/>
              <w:ind w:left="580"/>
              <w:jc w:val="left"/>
              <w:rPr>
                <w:sz w:val="24"/>
              </w:rPr>
            </w:pPr>
            <w:r>
              <w:rPr>
                <w:sz w:val="24"/>
              </w:rPr>
              <w:t>在不同车速和地面清洁程度的汽车扬尘情况统计见表 </w:t>
            </w:r>
            <w:r>
              <w:rPr>
                <w:rFonts w:ascii="Times New Roman" w:eastAsia="Times New Roman"/>
                <w:sz w:val="24"/>
              </w:rPr>
              <w:t>5-2</w:t>
            </w:r>
            <w:r>
              <w:rPr>
                <w:sz w:val="24"/>
              </w:rPr>
              <w:t>。</w:t>
            </w:r>
          </w:p>
          <w:p>
            <w:pPr>
              <w:pStyle w:val="TableParagraph"/>
              <w:tabs>
                <w:tab w:pos="1547" w:val="left" w:leader="none"/>
                <w:tab w:pos="5888" w:val="left" w:leader="none"/>
              </w:tabs>
              <w:spacing w:before="135"/>
              <w:ind w:left="1478" w:hanging="912"/>
              <w:jc w:val="left"/>
              <w:rPr>
                <w:sz w:val="24"/>
              </w:rPr>
            </w:pPr>
            <w:r>
              <w:rPr>
                <w:b/>
                <w:sz w:val="24"/>
              </w:rPr>
              <w:t>表</w:t>
            </w:r>
            <w:r>
              <w:rPr>
                <w:b/>
                <w:spacing w:val="-60"/>
                <w:sz w:val="24"/>
              </w:rPr>
              <w:t> </w:t>
            </w:r>
            <w:r>
              <w:rPr>
                <w:rFonts w:ascii="Times New Roman" w:eastAsia="Times New Roman"/>
                <w:b/>
                <w:sz w:val="24"/>
              </w:rPr>
              <w:t>5-2</w:t>
              <w:tab/>
              <w:tab/>
            </w:r>
            <w:r>
              <w:rPr>
                <w:b/>
                <w:sz w:val="24"/>
              </w:rPr>
              <w:t>在不同车速和地面清洁程度的汽车扬尘</w:t>
              <w:tab/>
            </w:r>
            <w:r>
              <w:rPr>
                <w:b/>
                <w:w w:val="95"/>
                <w:sz w:val="24"/>
              </w:rPr>
              <w:t>单位：</w:t>
            </w:r>
            <w:r>
              <w:rPr>
                <w:rFonts w:ascii="Times New Roman" w:eastAsia="Times New Roman"/>
                <w:w w:val="95"/>
                <w:sz w:val="24"/>
              </w:rPr>
              <w:t>kg/km</w:t>
            </w:r>
            <w:r>
              <w:rPr>
                <w:rFonts w:ascii="MS Gothic" w:eastAsia="MS Gothic" w:hint="eastAsia"/>
                <w:w w:val="95"/>
                <w:sz w:val="24"/>
              </w:rPr>
              <w:t>・</w:t>
            </w:r>
            <w:r>
              <w:rPr>
                <w:w w:val="95"/>
                <w:sz w:val="24"/>
              </w:rPr>
              <w:t>辆</w:t>
            </w:r>
          </w:p>
          <w:p>
            <w:pPr>
              <w:pStyle w:val="TableParagraph"/>
              <w:tabs>
                <w:tab w:pos="2311" w:val="left" w:leader="none"/>
                <w:tab w:pos="3353" w:val="left" w:leader="none"/>
                <w:tab w:pos="4394" w:val="left" w:leader="none"/>
                <w:tab w:pos="5439" w:val="left" w:leader="none"/>
                <w:tab w:pos="6478" w:val="left" w:leader="none"/>
                <w:tab w:pos="7599" w:val="left" w:leader="none"/>
              </w:tabs>
              <w:spacing w:line="307" w:lineRule="exact" w:before="245"/>
              <w:ind w:left="1478"/>
              <w:jc w:val="left"/>
              <w:rPr>
                <w:rFonts w:ascii="Times New Roman"/>
                <w:sz w:val="21"/>
              </w:rPr>
            </w:pPr>
            <w:r>
              <w:rPr>
                <w:rFonts w:ascii="Times New Roman"/>
                <w:position w:val="14"/>
                <w:sz w:val="21"/>
              </w:rPr>
              <w:t>P</w:t>
              <w:tab/>
            </w:r>
            <w:r>
              <w:rPr>
                <w:rFonts w:ascii="Times New Roman"/>
                <w:sz w:val="21"/>
              </w:rPr>
              <w:t>0.1</w:t>
              <w:tab/>
              <w:t>0.2</w:t>
              <w:tab/>
              <w:t>0.3</w:t>
              <w:tab/>
              <w:t>0.4</w:t>
              <w:tab/>
              <w:t>0.5</w:t>
              <w:tab/>
              <w:t>1</w:t>
            </w:r>
          </w:p>
          <w:p>
            <w:pPr>
              <w:pStyle w:val="TableParagraph"/>
              <w:spacing w:line="200" w:lineRule="exact"/>
              <w:ind w:left="419"/>
              <w:jc w:val="left"/>
              <w:rPr>
                <w:sz w:val="21"/>
              </w:rPr>
            </w:pPr>
            <w:r>
              <w:rPr>
                <w:sz w:val="21"/>
              </w:rPr>
              <w:t>车速</w:t>
            </w:r>
          </w:p>
          <w:p>
            <w:pPr>
              <w:pStyle w:val="TableParagraph"/>
              <w:tabs>
                <w:tab w:pos="2206" w:val="left" w:leader="none"/>
                <w:tab w:pos="3247" w:val="left" w:leader="none"/>
                <w:tab w:pos="4294" w:val="left" w:leader="none"/>
                <w:tab w:pos="5333" w:val="left" w:leader="none"/>
                <w:tab w:pos="6372" w:val="left" w:leader="none"/>
                <w:tab w:pos="7415" w:val="left" w:leader="none"/>
              </w:tabs>
              <w:spacing w:before="89"/>
              <w:ind w:left="741"/>
              <w:jc w:val="left"/>
              <w:rPr>
                <w:rFonts w:ascii="Times New Roman"/>
                <w:sz w:val="21"/>
              </w:rPr>
            </w:pPr>
            <w:r>
              <w:rPr>
                <w:rFonts w:ascii="Times New Roman"/>
                <w:sz w:val="21"/>
              </w:rPr>
              <w:t>5km/h</w:t>
              <w:tab/>
              <w:t>0.051</w:t>
              <w:tab/>
              <w:t>0.086</w:t>
              <w:tab/>
              <w:t>0.116</w:t>
              <w:tab/>
              <w:t>0.144</w:t>
              <w:tab/>
              <w:t>0.171</w:t>
              <w:tab/>
              <w:t>0.287</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10km/h</w:t>
              <w:tab/>
              <w:t>0.102</w:t>
              <w:tab/>
              <w:t>0.171</w:t>
              <w:tab/>
              <w:t>0.232</w:t>
              <w:tab/>
              <w:t>0.289</w:t>
              <w:tab/>
              <w:t>0.341</w:t>
              <w:tab/>
              <w:t>0.574</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1"/>
              <w:ind w:left="691"/>
              <w:jc w:val="left"/>
              <w:rPr>
                <w:rFonts w:ascii="Times New Roman"/>
                <w:sz w:val="21"/>
              </w:rPr>
            </w:pPr>
            <w:r>
              <w:rPr>
                <w:rFonts w:ascii="Times New Roman"/>
                <w:sz w:val="21"/>
              </w:rPr>
              <w:t>15km/h</w:t>
              <w:tab/>
              <w:t>0.153</w:t>
              <w:tab/>
              <w:t>0.257</w:t>
              <w:tab/>
              <w:t>0.349</w:t>
              <w:tab/>
              <w:t>0.433</w:t>
              <w:tab/>
              <w:t>0.512</w:t>
              <w:tab/>
              <w:t>0.861</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3"/>
              <w:ind w:left="691"/>
              <w:jc w:val="left"/>
              <w:rPr>
                <w:rFonts w:ascii="Times New Roman"/>
                <w:sz w:val="21"/>
              </w:rPr>
            </w:pPr>
            <w:r>
              <w:rPr>
                <w:rFonts w:ascii="Times New Roman"/>
                <w:sz w:val="21"/>
              </w:rPr>
              <w:t>20km/h</w:t>
              <w:tab/>
              <w:t>0.255</w:t>
              <w:tab/>
              <w:t>0.429</w:t>
              <w:tab/>
              <w:t>0.582</w:t>
              <w:tab/>
              <w:t>0.722</w:t>
              <w:tab/>
              <w:t>0.853</w:t>
              <w:tab/>
              <w:t>1.435</w:t>
            </w:r>
          </w:p>
          <w:p>
            <w:pPr>
              <w:pStyle w:val="TableParagraph"/>
              <w:spacing w:before="46"/>
              <w:ind w:left="580"/>
              <w:jc w:val="left"/>
              <w:rPr>
                <w:sz w:val="24"/>
              </w:rPr>
            </w:pPr>
            <w:r>
              <w:rPr>
                <w:sz w:val="24"/>
              </w:rPr>
              <w:t>由此可见，在同样路面清洁程度条件下，车速越快，扬尘量越大；在同样</w:t>
            </w:r>
          </w:p>
        </w:tc>
      </w:tr>
    </w:tbl>
    <w:p>
      <w:pPr>
        <w:rPr>
          <w:sz w:val="2"/>
          <w:szCs w:val="2"/>
        </w:rPr>
      </w:pPr>
      <w:r>
        <w:rPr/>
        <w:pict>
          <v:group style="position:absolute;margin-left:94.084pt;margin-top:648.079956pt;width:406.6pt;height:101.6pt;mso-position-horizontal-relative:page;mso-position-vertical-relative:page;z-index:-197992" coordorigin="1882,12962" coordsize="8132,2032">
            <v:line style="position:absolute" from="1918,12984" to="3737,12984" stroked="true" strokeweight="2.16pt" strokecolor="#000000">
              <v:stroke dashstyle="solid"/>
            </v:line>
            <v:line style="position:absolute" from="3737,12984" to="3781,12984" stroked="true" strokeweight="2.16pt" strokecolor="#000000">
              <v:stroke dashstyle="solid"/>
            </v:line>
            <v:line style="position:absolute" from="3781,12984" to="4777,12984" stroked="true" strokeweight="2.16pt" strokecolor="#000000">
              <v:stroke dashstyle="solid"/>
            </v:line>
            <v:line style="position:absolute" from="4777,12984" to="4820,12984" stroked="true" strokeweight="2.16pt" strokecolor="#000000">
              <v:stroke dashstyle="solid"/>
            </v:line>
            <v:line style="position:absolute" from="4820,12984" to="5821,12984" stroked="true" strokeweight="2.16pt" strokecolor="#000000">
              <v:stroke dashstyle="solid"/>
            </v:line>
            <v:line style="position:absolute" from="5821,12984" to="5864,12984" stroked="true" strokeweight="2.16pt" strokecolor="#000000">
              <v:stroke dashstyle="solid"/>
            </v:line>
            <v:line style="position:absolute" from="5864,12984" to="6861,12984" stroked="true" strokeweight="2.16pt" strokecolor="#000000">
              <v:stroke dashstyle="solid"/>
            </v:line>
            <v:line style="position:absolute" from="6861,12984" to="6904,12984" stroked="true" strokeweight="2.16pt" strokecolor="#000000">
              <v:stroke dashstyle="solid"/>
            </v:line>
            <v:line style="position:absolute" from="6904,12984" to="7902,12984" stroked="true" strokeweight="2.16pt" strokecolor="#000000">
              <v:stroke dashstyle="solid"/>
            </v:line>
            <v:line style="position:absolute" from="7902,12984" to="7945,12984" stroked="true" strokeweight="2.16pt" strokecolor="#000000">
              <v:stroke dashstyle="solid"/>
            </v:line>
            <v:line style="position:absolute" from="7945,12984" to="8944,12984" stroked="true" strokeweight="2.16pt" strokecolor="#000000">
              <v:stroke dashstyle="solid"/>
            </v:line>
            <v:line style="position:absolute" from="8944,12984" to="8988,12984" stroked="true" strokeweight="2.16pt" strokecolor="#000000">
              <v:stroke dashstyle="solid"/>
            </v:line>
            <v:line style="position:absolute" from="8988,12984" to="9991,12984" stroked="true" strokeweight="2.16pt" strokecolor="#000000">
              <v:stroke dashstyle="solid"/>
            </v:line>
            <v:line style="position:absolute" from="1918,13008" to="3737,13567" stroked="true" strokeweight=".48pt" strokecolor="#000000">
              <v:stroke dashstyle="solid"/>
            </v:line>
            <v:line style="position:absolute" from="1918,13569" to="3737,13569" stroked="true" strokeweight=".23999pt" strokecolor="#000000">
              <v:stroke dashstyle="solid"/>
            </v:line>
            <v:line style="position:absolute" from="3742,13569" to="4777,13569" stroked="true" strokeweight=".23999pt" strokecolor="#000000">
              <v:stroke dashstyle="solid"/>
            </v:line>
            <v:line style="position:absolute" from="4787,13569" to="5821,13569" stroked="true" strokeweight=".23999pt" strokecolor="#000000">
              <v:stroke dashstyle="solid"/>
            </v:line>
            <v:line style="position:absolute" from="5826,13569" to="6861,13569" stroked="true" strokeweight=".23999pt" strokecolor="#000000">
              <v:stroke dashstyle="solid"/>
            </v:line>
            <v:line style="position:absolute" from="6865,13569" to="7902,13569" stroked="true" strokeweight=".23999pt" strokecolor="#000000">
              <v:stroke dashstyle="solid"/>
            </v:line>
            <v:line style="position:absolute" from="7912,13569" to="8944,13569" stroked="true" strokeweight=".23999pt" strokecolor="#000000">
              <v:stroke dashstyle="solid"/>
            </v:line>
            <v:line style="position:absolute" from="8954,13569" to="9991,13569" stroked="true" strokeweight=".23999pt" strokecolor="#000000">
              <v:stroke dashstyle="solid"/>
            </v:line>
            <v:line style="position:absolute" from="1918,13915" to="3737,13915" stroked="true" strokeweight=".23999pt" strokecolor="#000000">
              <v:stroke dashstyle="solid"/>
            </v:line>
            <v:line style="position:absolute" from="3742,13915" to="4777,13915" stroked="true" strokeweight=".23999pt" strokecolor="#000000">
              <v:stroke dashstyle="solid"/>
            </v:line>
            <v:line style="position:absolute" from="4787,13915" to="5821,13915" stroked="true" strokeweight=".23999pt" strokecolor="#000000">
              <v:stroke dashstyle="solid"/>
            </v:line>
            <v:line style="position:absolute" from="5826,13915" to="6861,13915" stroked="true" strokeweight=".23999pt" strokecolor="#000000">
              <v:stroke dashstyle="solid"/>
            </v:line>
            <v:line style="position:absolute" from="6865,13915" to="7902,13915" stroked="true" strokeweight=".23999pt" strokecolor="#000000">
              <v:stroke dashstyle="solid"/>
            </v:line>
            <v:line style="position:absolute" from="7912,13915" to="8944,13915" stroked="true" strokeweight=".23999pt" strokecolor="#000000">
              <v:stroke dashstyle="solid"/>
            </v:line>
            <v:line style="position:absolute" from="8954,13915" to="9991,13915" stroked="true" strokeweight=".23999pt" strokecolor="#000000">
              <v:stroke dashstyle="solid"/>
            </v:line>
            <v:line style="position:absolute" from="1918,14260" to="3737,14260" stroked="true" strokeweight=".23999pt" strokecolor="#000000">
              <v:stroke dashstyle="solid"/>
            </v:line>
            <v:line style="position:absolute" from="3742,14260" to="4777,14260" stroked="true" strokeweight=".23999pt" strokecolor="#000000">
              <v:stroke dashstyle="solid"/>
            </v:line>
            <v:line style="position:absolute" from="4787,14260" to="5821,14260" stroked="true" strokeweight=".23999pt" strokecolor="#000000">
              <v:stroke dashstyle="solid"/>
            </v:line>
            <v:line style="position:absolute" from="5826,14260" to="6861,14260" stroked="true" strokeweight=".23999pt" strokecolor="#000000">
              <v:stroke dashstyle="solid"/>
            </v:line>
            <v:line style="position:absolute" from="6865,14260" to="7902,14260" stroked="true" strokeweight=".23999pt" strokecolor="#000000">
              <v:stroke dashstyle="solid"/>
            </v:line>
            <v:line style="position:absolute" from="7912,14260" to="8944,14260" stroked="true" strokeweight=".23999pt" strokecolor="#000000">
              <v:stroke dashstyle="solid"/>
            </v:line>
            <v:line style="position:absolute" from="8954,14260" to="9991,14260" stroked="true" strokeweight=".23999pt" strokecolor="#000000">
              <v:stroke dashstyle="solid"/>
            </v:line>
            <v:line style="position:absolute" from="1918,14606" to="3737,14606" stroked="true" strokeweight=".23999pt" strokecolor="#000000">
              <v:stroke dashstyle="solid"/>
            </v:line>
            <v:line style="position:absolute" from="3742,14606" to="4777,14606" stroked="true" strokeweight=".23999pt" strokecolor="#000000">
              <v:stroke dashstyle="solid"/>
            </v:line>
            <v:line style="position:absolute" from="4787,14606" to="5821,14606" stroked="true" strokeweight=".23999pt" strokecolor="#000000">
              <v:stroke dashstyle="solid"/>
            </v:line>
            <v:line style="position:absolute" from="5826,14606" to="6861,14606" stroked="true" strokeweight=".23999pt" strokecolor="#000000">
              <v:stroke dashstyle="solid"/>
            </v:line>
            <v:line style="position:absolute" from="6865,14606" to="7902,14606" stroked="true" strokeweight=".23999pt" strokecolor="#000000">
              <v:stroke dashstyle="solid"/>
            </v:line>
            <v:line style="position:absolute" from="7912,14606" to="8944,14606" stroked="true" strokeweight=".23999pt" strokecolor="#000000">
              <v:stroke dashstyle="solid"/>
            </v:line>
            <v:line style="position:absolute" from="8954,14606" to="9991,14606" stroked="true" strokeweight=".23999pt" strokecolor="#000000">
              <v:stroke dashstyle="solid"/>
            </v:line>
            <v:line style="position:absolute" from="1904,14971" to="3737,14971" stroked="true" strokeweight="2.16pt" strokecolor="#000000">
              <v:stroke dashstyle="solid"/>
            </v:line>
            <v:line style="position:absolute" from="3740,13005" to="3740,14949" stroked="true" strokeweight=".24001pt" strokecolor="#000000">
              <v:stroke dashstyle="solid"/>
            </v:line>
            <v:line style="position:absolute" from="3737,14971" to="3781,14971" stroked="true" strokeweight="2.16pt" strokecolor="#000000">
              <v:stroke dashstyle="solid"/>
            </v:line>
            <v:line style="position:absolute" from="3781,14971" to="4777,14971" stroked="true" strokeweight="2.16pt" strokecolor="#000000">
              <v:stroke dashstyle="solid"/>
            </v:line>
            <v:line style="position:absolute" from="4782,13005" to="4782,14949" stroked="true" strokeweight=".48pt" strokecolor="#000000">
              <v:stroke dashstyle="solid"/>
            </v:line>
            <v:line style="position:absolute" from="4777,14971" to="4820,14971" stroked="true" strokeweight="2.16pt" strokecolor="#000000">
              <v:stroke dashstyle="solid"/>
            </v:line>
            <v:line style="position:absolute" from="4820,14971" to="5821,14971" stroked="true" strokeweight="2.16pt" strokecolor="#000000">
              <v:stroke dashstyle="solid"/>
            </v:line>
            <v:line style="position:absolute" from="5823,13005" to="5823,14949" stroked="true" strokeweight=".23999pt" strokecolor="#000000">
              <v:stroke dashstyle="solid"/>
            </v:line>
            <v:line style="position:absolute" from="5821,14971" to="5864,14971" stroked="true" strokeweight="2.16pt" strokecolor="#000000">
              <v:stroke dashstyle="solid"/>
            </v:line>
            <v:line style="position:absolute" from="5864,14971" to="6861,14971" stroked="true" strokeweight="2.16pt" strokecolor="#000000">
              <v:stroke dashstyle="solid"/>
            </v:line>
            <v:line style="position:absolute" from="6863,13005" to="6863,14949" stroked="true" strokeweight=".23999pt" strokecolor="#000000">
              <v:stroke dashstyle="solid"/>
            </v:line>
            <v:line style="position:absolute" from="6861,14971" to="6904,14971" stroked="true" strokeweight="2.16pt" strokecolor="#000000">
              <v:stroke dashstyle="solid"/>
            </v:line>
            <v:line style="position:absolute" from="6904,14971" to="7902,14971" stroked="true" strokeweight="2.16pt" strokecolor="#000000">
              <v:stroke dashstyle="solid"/>
            </v:line>
            <v:line style="position:absolute" from="7907,13005" to="7907,14949" stroked="true" strokeweight=".48001pt" strokecolor="#000000">
              <v:stroke dashstyle="solid"/>
            </v:line>
            <v:line style="position:absolute" from="7902,14971" to="7945,14971" stroked="true" strokeweight="2.16pt" strokecolor="#000000">
              <v:stroke dashstyle="solid"/>
            </v:line>
            <v:line style="position:absolute" from="7945,14971" to="8944,14971" stroked="true" strokeweight="2.16pt" strokecolor="#000000">
              <v:stroke dashstyle="solid"/>
            </v:line>
            <v:line style="position:absolute" from="8949,13005" to="8949,14949" stroked="true" strokeweight=".48001pt" strokecolor="#000000">
              <v:stroke dashstyle="solid"/>
            </v:line>
            <v:line style="position:absolute" from="8944,14971" to="8988,14971" stroked="true" strokeweight="2.16pt" strokecolor="#000000">
              <v:stroke dashstyle="solid"/>
            </v:line>
            <v:line style="position:absolute" from="8988,14971" to="9991,14971" stroked="true" strokeweight="2.16pt" strokecolor="#000000">
              <v:stroke dashstyle="solid"/>
            </v:line>
            <w10:wrap type="none"/>
          </v:group>
        </w:pict>
      </w:r>
      <w:r>
        <w:rPr/>
        <w:pict>
          <v:shape style="position:absolute;margin-left:95.183998pt;margin-top:649.179993pt;width:404.4pt;height:99.4pt;mso-position-horizontal-relative:page;mso-position-vertical-relative:page;z-index:246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836"/>
                    <w:gridCol w:w="1042"/>
                    <w:gridCol w:w="1042"/>
                    <w:gridCol w:w="1040"/>
                    <w:gridCol w:w="1044"/>
                    <w:gridCol w:w="1042"/>
                    <w:gridCol w:w="1042"/>
                  </w:tblGrid>
                  <w:tr>
                    <w:trPr>
                      <w:trHeight w:val="58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65"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pStyle w:val="BodyText"/>
        <w:spacing w:line="357" w:lineRule="auto" w:before="13"/>
        <w:ind w:left="238" w:right="132"/>
      </w:pPr>
      <w:r>
        <w:rPr/>
        <w:pict>
          <v:group style="position:absolute;margin-left:90.128998pt;margin-top:71.624977pt;width:415.2pt;height:698.95pt;mso-position-horizontal-relative:page;mso-position-vertical-relative:page;z-index:-197944"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11"/>
        </w:rPr>
        <w:t>车速情况下，路面越脏，扬尘量越大，因此限速行驶及保持路面清洁是减少运输车辆动力起尘的有效办法。</w:t>
      </w:r>
    </w:p>
    <w:p>
      <w:pPr>
        <w:pStyle w:val="BodyText"/>
        <w:spacing w:line="352" w:lineRule="auto" w:before="33"/>
        <w:ind w:left="238" w:right="118" w:firstLine="479"/>
      </w:pPr>
      <w:r>
        <w:rPr>
          <w:spacing w:val="-6"/>
        </w:rPr>
        <w:t>运输车辆动力起尘属于等效线源，扬尘会向道路两边扩散，最大扬尘浓度</w:t>
      </w:r>
      <w:r>
        <w:rPr>
          <w:spacing w:val="-12"/>
        </w:rPr>
        <w:t>出现在道路两侧。随着离道路的距离增加，扬尘浓度逐渐递减，直至最后趋于</w:t>
      </w:r>
      <w:r>
        <w:rPr>
          <w:spacing w:val="-13"/>
        </w:rPr>
        <w:t>背景值。根据类比调查，一般情况下，施工场地在自然风作用下产生的扬尘影</w:t>
      </w:r>
      <w:r>
        <w:rPr>
          <w:spacing w:val="-19"/>
        </w:rPr>
        <w:t>响范围在道路两侧 </w:t>
      </w:r>
      <w:r>
        <w:rPr>
          <w:rFonts w:ascii="Times New Roman" w:eastAsia="Times New Roman"/>
        </w:rPr>
        <w:t>100m </w:t>
      </w:r>
      <w:r>
        <w:rPr>
          <w:spacing w:val="-15"/>
        </w:rPr>
        <w:t>范围。为减少扬尘的产生量及其浓度，在施工过程中， </w:t>
      </w:r>
      <w:r>
        <w:rPr>
          <w:spacing w:val="-1"/>
        </w:rPr>
        <w:t>施工单位采取了以下措施：</w:t>
      </w:r>
    </w:p>
    <w:p>
      <w:pPr>
        <w:pStyle w:val="BodyText"/>
        <w:spacing w:line="357" w:lineRule="auto" w:before="41"/>
        <w:ind w:left="238" w:right="234" w:firstLine="479"/>
        <w:jc w:val="both"/>
      </w:pPr>
      <w:r>
        <w:rPr>
          <w:spacing w:val="-8"/>
        </w:rPr>
        <w:t>①在对场地内进行地表清理、土石方开挖与回填过程中建设单位需做到文</w:t>
      </w:r>
      <w:r>
        <w:rPr>
          <w:spacing w:val="-12"/>
        </w:rPr>
        <w:t>明施工，对开挖、回填过程中采取了湿法作业，施工作业期间避免大风天气进行拆除及开挖。</w:t>
      </w:r>
    </w:p>
    <w:p>
      <w:pPr>
        <w:pStyle w:val="BodyText"/>
        <w:spacing w:line="345" w:lineRule="auto" w:before="36"/>
        <w:ind w:left="238" w:right="133" w:firstLine="479"/>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小时进行清理，防止空气污染。</w:t>
      </w:r>
    </w:p>
    <w:p>
      <w:pPr>
        <w:pStyle w:val="BodyText"/>
        <w:spacing w:line="357" w:lineRule="auto" w:before="45"/>
        <w:ind w:left="238" w:right="237" w:firstLine="479"/>
        <w:jc w:val="both"/>
      </w:pPr>
      <w:r>
        <w:rPr>
          <w:spacing w:val="-9"/>
        </w:rPr>
        <w:t>③施工现场、施工道路的扬尘可用洒水和清扫措施予以抑止。如遇连续高</w:t>
      </w:r>
      <w:r>
        <w:rPr>
          <w:spacing w:val="-13"/>
        </w:rPr>
        <w:t>温或风速较大等天气，应增加洒水频次来有效控制扬尘污染。砂石尽可能不露天堆放，如不得不敞开堆放，应对其进行洒水。</w:t>
      </w:r>
    </w:p>
    <w:p>
      <w:pPr>
        <w:pStyle w:val="BodyText"/>
        <w:spacing w:line="345" w:lineRule="auto" w:before="36"/>
        <w:ind w:left="238" w:right="233" w:firstLine="479"/>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w:t>
      </w:r>
      <w:r>
        <w:rPr>
          <w:spacing w:val="-1"/>
        </w:rPr>
        <w:t>堆放在施工现场区域内，当天及时外运处置，禁止随意倾倒。</w:t>
      </w:r>
    </w:p>
    <w:p>
      <w:pPr>
        <w:pStyle w:val="BodyText"/>
        <w:spacing w:line="357" w:lineRule="auto" w:before="46"/>
        <w:ind w:left="238" w:right="235" w:firstLine="479"/>
        <w:jc w:val="both"/>
      </w:pPr>
      <w:r>
        <w:rPr>
          <w:spacing w:val="-5"/>
        </w:rPr>
        <w:t>⑤由于道路和扬尘量与车辆的行驶速度有关，速度越快，扬尘量越大，因</w:t>
      </w:r>
      <w:r>
        <w:rPr>
          <w:spacing w:val="-10"/>
        </w:rPr>
        <w:t>此，在施工场地对施工车辆必须实施限速行驶，同时施工现场主要运输道路尽</w:t>
      </w:r>
      <w:r>
        <w:rPr>
          <w:spacing w:val="-14"/>
        </w:rPr>
        <w:t>量采用硬化路面并进行洒水抑尘；在施工场地出口放置防尘垫；自卸车、渣土</w:t>
      </w:r>
      <w:r>
        <w:rPr>
          <w:spacing w:val="-17"/>
        </w:rPr>
        <w:t>运输车等运输车辆不允许超载，使用篷布遮盖，确保不污染道路，选择对周围环境影响较小的运输路线，定时对运输路线进行清扫和洒水降尘。</w:t>
      </w:r>
    </w:p>
    <w:p>
      <w:pPr>
        <w:pStyle w:val="Heading3"/>
        <w:spacing w:line="348" w:lineRule="auto" w:before="36"/>
        <w:ind w:left="238" w:right="100" w:firstLine="482"/>
      </w:pPr>
      <w:r>
        <w:rPr>
          <w:spacing w:val="-4"/>
        </w:rPr>
        <w:t>⑥全面落实《四川省人民政府办公厅关于加强灰霾污染防治的通知》</w:t>
      </w:r>
      <w:r>
        <w:rPr/>
        <w:t>（川办发</w:t>
      </w:r>
      <w:r>
        <w:rPr>
          <w:rFonts w:ascii="Times New Roman" w:hAnsi="Times New Roman" w:eastAsia="Times New Roman"/>
        </w:rPr>
        <w:t>[2013]32 </w:t>
      </w:r>
      <w:r>
        <w:rPr/>
        <w:t>号</w:t>
      </w:r>
      <w:r>
        <w:rPr>
          <w:spacing w:val="-120"/>
        </w:rPr>
        <w:t>）</w:t>
      </w:r>
      <w:r>
        <w:rPr>
          <w:spacing w:val="-15"/>
        </w:rPr>
        <w:t>、《四川省灰霾污染防治实施方案》中</w:t>
      </w:r>
      <w:r>
        <w:rPr>
          <w:rFonts w:ascii="Times New Roman" w:hAnsi="Times New Roman" w:eastAsia="Times New Roman"/>
          <w:spacing w:val="-3"/>
        </w:rPr>
        <w:t>“</w:t>
      </w:r>
      <w:r>
        <w:rPr/>
        <w:t>六必须</w:t>
      </w:r>
      <w:r>
        <w:rPr>
          <w:rFonts w:ascii="Times New Roman" w:hAnsi="Times New Roman" w:eastAsia="Times New Roman"/>
          <w:spacing w:val="-16"/>
        </w:rPr>
        <w:t>”</w:t>
      </w:r>
      <w:r>
        <w:rPr>
          <w:spacing w:val="-16"/>
        </w:rPr>
        <w:t>（</w:t>
      </w:r>
      <w:r>
        <w:rPr/>
        <w:t>必须围档作</w:t>
      </w:r>
      <w:r>
        <w:rPr>
          <w:spacing w:val="1"/>
        </w:rPr>
        <w:t>业、必须硬化道路、必须设置冲洗设施、必须及时洒水作业、必须落实保洁人员、必须定时清扫施工现场</w:t>
      </w:r>
      <w:r>
        <w:rPr>
          <w:spacing w:val="-118"/>
        </w:rPr>
        <w:t>）</w:t>
      </w:r>
      <w:r>
        <w:rPr>
          <w:spacing w:val="4"/>
        </w:rPr>
        <w:t>、</w:t>
      </w:r>
      <w:r>
        <w:rPr>
          <w:rFonts w:ascii="Times New Roman" w:hAnsi="Times New Roman" w:eastAsia="Times New Roman"/>
          <w:spacing w:val="-3"/>
        </w:rPr>
        <w:t>“</w:t>
      </w:r>
      <w:r>
        <w:rPr/>
        <w:t>六不准</w:t>
      </w:r>
      <w:r>
        <w:rPr>
          <w:rFonts w:ascii="Times New Roman" w:hAnsi="Times New Roman" w:eastAsia="Times New Roman"/>
        </w:rPr>
        <w:t>”</w:t>
      </w:r>
      <w:r>
        <w:rPr/>
        <w:t>（不准车辆带泥出门、不准运渣车辆冒顶装载、不准高空抛撒建筑垃圾、不准现场搅拌混凝土、不准场地积水、</w:t>
      </w:r>
      <w:r>
        <w:rPr>
          <w:w w:val="95"/>
        </w:rPr>
        <w:t>不准现场焚烧废弃物</w:t>
      </w:r>
      <w:r>
        <w:rPr>
          <w:spacing w:val="-90"/>
          <w:w w:val="95"/>
        </w:rPr>
        <w:t>）</w:t>
      </w:r>
      <w:r>
        <w:rPr>
          <w:spacing w:val="-14"/>
          <w:w w:val="95"/>
        </w:rPr>
        <w:t>，加强对建设工地的监督检查，督促责任单位落实降尘、</w:t>
      </w:r>
    </w:p>
    <w:p>
      <w:pPr>
        <w:spacing w:after="0" w:line="348" w:lineRule="auto"/>
        <w:sectPr>
          <w:pgSz w:w="11910" w:h="16850"/>
          <w:pgMar w:header="0" w:footer="1141" w:top="1400" w:bottom="134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11236" w:hRule="exact"/>
        </w:trPr>
        <w:tc>
          <w:tcPr>
            <w:tcW w:w="8289" w:type="dxa"/>
            <w:gridSpan w:val="5"/>
            <w:tcBorders>
              <w:bottom w:val="single" w:sz="17" w:space="0" w:color="000000"/>
            </w:tcBorders>
          </w:tcPr>
          <w:p>
            <w:pPr>
              <w:pStyle w:val="TableParagraph"/>
              <w:spacing w:line="274" w:lineRule="exact"/>
              <w:ind w:left="100"/>
              <w:jc w:val="left"/>
              <w:rPr>
                <w:b/>
                <w:sz w:val="24"/>
              </w:rPr>
            </w:pPr>
            <w:r>
              <w:rPr>
                <w:b/>
                <w:w w:val="95"/>
                <w:sz w:val="24"/>
              </w:rPr>
              <w:t>压尘和抑尘措施。</w:t>
            </w:r>
          </w:p>
          <w:p>
            <w:pPr>
              <w:pStyle w:val="TableParagraph"/>
              <w:spacing w:line="355" w:lineRule="auto" w:before="154"/>
              <w:ind w:left="100" w:right="94" w:firstLine="479"/>
              <w:jc w:val="left"/>
              <w:rPr>
                <w:sz w:val="24"/>
              </w:rPr>
            </w:pPr>
            <w:r>
              <w:rPr>
                <w:spacing w:val="-9"/>
                <w:sz w:val="24"/>
              </w:rPr>
              <w:t>综上所述，施工单位应严格按照相关要求采取扬尘防治措施，加强施工场地管理和组织秩序，确保施工期间做到文明施工、不扰民、少污染。</w:t>
            </w:r>
          </w:p>
          <w:p>
            <w:pPr>
              <w:pStyle w:val="TableParagraph"/>
              <w:spacing w:before="39"/>
              <w:ind w:left="583"/>
              <w:jc w:val="left"/>
              <w:rPr>
                <w:b/>
                <w:sz w:val="24"/>
              </w:rPr>
            </w:pPr>
            <w:r>
              <w:rPr>
                <w:b/>
                <w:w w:val="95"/>
                <w:sz w:val="24"/>
              </w:rPr>
              <w:t>（</w:t>
            </w:r>
            <w:r>
              <w:rPr>
                <w:rFonts w:ascii="Times New Roman" w:eastAsia="Times New Roman"/>
                <w:b/>
                <w:w w:val="95"/>
                <w:sz w:val="24"/>
              </w:rPr>
              <w:t>2</w:t>
            </w:r>
            <w:r>
              <w:rPr>
                <w:b/>
                <w:w w:val="95"/>
                <w:sz w:val="24"/>
              </w:rPr>
              <w:t>）汽车尾气</w:t>
            </w:r>
          </w:p>
          <w:p>
            <w:pPr>
              <w:pStyle w:val="TableParagraph"/>
              <w:spacing w:line="338" w:lineRule="auto" w:before="133"/>
              <w:ind w:left="100" w:firstLine="479"/>
              <w:jc w:val="left"/>
              <w:rPr>
                <w:sz w:val="24"/>
              </w:rPr>
            </w:pPr>
            <w:r>
              <w:rPr>
                <w:spacing w:val="-5"/>
                <w:sz w:val="24"/>
              </w:rPr>
              <w:t>施工机械主要以柴油和汽油为燃料，施工机械燃油将排出 </w:t>
            </w:r>
            <w:r>
              <w:rPr>
                <w:rFonts w:ascii="Times New Roman" w:eastAsia="Times New Roman"/>
                <w:sz w:val="24"/>
              </w:rPr>
              <w:t>NOx</w:t>
            </w:r>
            <w:r>
              <w:rPr>
                <w:spacing w:val="-24"/>
                <w:sz w:val="24"/>
              </w:rPr>
              <w:t>、</w:t>
            </w:r>
            <w:r>
              <w:rPr>
                <w:rFonts w:ascii="Times New Roman" w:eastAsia="Times New Roman"/>
                <w:sz w:val="24"/>
              </w:rPr>
              <w:t>CO </w:t>
            </w:r>
            <w:r>
              <w:rPr>
                <w:sz w:val="24"/>
              </w:rPr>
              <w:t>的尾气。</w:t>
            </w:r>
          </w:p>
          <w:p>
            <w:pPr>
              <w:pStyle w:val="TableParagraph"/>
              <w:spacing w:line="350" w:lineRule="auto" w:before="52"/>
              <w:ind w:left="100" w:right="70" w:firstLine="479"/>
              <w:jc w:val="left"/>
              <w:rPr>
                <w:sz w:val="24"/>
              </w:rPr>
            </w:pPr>
            <w:r>
              <w:rPr>
                <w:spacing w:val="-3"/>
                <w:sz w:val="24"/>
              </w:rPr>
              <w:t>施工机械尾气在施工作业时对环境影响范围主要局限在施工区域内，本工</w:t>
            </w:r>
            <w:r>
              <w:rPr>
                <w:spacing w:val="-4"/>
                <w:sz w:val="24"/>
              </w:rPr>
              <w:t>程施工区域较宽敞，污染物易于扩散，影响范围仅限于下风向 </w:t>
            </w:r>
            <w:r>
              <w:rPr>
                <w:rFonts w:ascii="Times New Roman" w:eastAsia="Times New Roman"/>
                <w:sz w:val="24"/>
              </w:rPr>
              <w:t>20</w:t>
            </w:r>
            <w:r>
              <w:rPr>
                <w:sz w:val="24"/>
              </w:rPr>
              <w:t>～</w:t>
            </w:r>
            <w:r>
              <w:rPr>
                <w:rFonts w:ascii="Times New Roman" w:eastAsia="Times New Roman"/>
                <w:sz w:val="24"/>
              </w:rPr>
              <w:t>30m</w:t>
            </w:r>
            <w:r>
              <w:rPr>
                <w:rFonts w:ascii="Times New Roman" w:eastAsia="Times New Roman"/>
                <w:spacing w:val="41"/>
                <w:sz w:val="24"/>
              </w:rPr>
              <w:t> </w:t>
            </w:r>
            <w:r>
              <w:rPr>
                <w:sz w:val="24"/>
              </w:rPr>
              <w:t>范围</w:t>
            </w:r>
            <w:r>
              <w:rPr>
                <w:spacing w:val="-15"/>
                <w:sz w:val="24"/>
              </w:rPr>
              <w:t>内，经扩散后尾气对周边居民和周围环境造成的影响较小，且这种影响时间短， 其余地区环境空气质量将维持现有水平。</w:t>
            </w:r>
          </w:p>
          <w:p>
            <w:pPr>
              <w:pStyle w:val="TableParagraph"/>
              <w:spacing w:line="357" w:lineRule="auto" w:before="43"/>
              <w:ind w:left="100" w:right="98" w:firstLine="479"/>
              <w:jc w:val="both"/>
              <w:rPr>
                <w:sz w:val="24"/>
              </w:rPr>
            </w:pPr>
            <w:r>
              <w:rPr>
                <w:spacing w:val="-11"/>
                <w:sz w:val="24"/>
              </w:rPr>
              <w:t>同时，环评建议施工单位应选用符合国家卫生防护标准的施工机械设备和</w:t>
            </w:r>
            <w:r>
              <w:rPr>
                <w:spacing w:val="-12"/>
                <w:sz w:val="24"/>
              </w:rPr>
              <w:t>运输工具，并加强对机械设备的养护，减少不必要的空转时间，尽可能的减少施工机械尾气的排放量。</w:t>
            </w:r>
          </w:p>
          <w:p>
            <w:pPr>
              <w:pStyle w:val="TableParagraph"/>
              <w:spacing w:before="34"/>
              <w:ind w:left="583"/>
              <w:jc w:val="left"/>
              <w:rPr>
                <w:b/>
                <w:sz w:val="24"/>
              </w:rPr>
            </w:pPr>
            <w:r>
              <w:rPr>
                <w:b/>
                <w:w w:val="95"/>
                <w:sz w:val="24"/>
              </w:rPr>
              <w:t>（</w:t>
            </w:r>
            <w:r>
              <w:rPr>
                <w:rFonts w:ascii="Times New Roman" w:eastAsia="Times New Roman"/>
                <w:b/>
                <w:w w:val="95"/>
                <w:sz w:val="24"/>
              </w:rPr>
              <w:t>3</w:t>
            </w:r>
            <w:r>
              <w:rPr>
                <w:b/>
                <w:w w:val="95"/>
                <w:sz w:val="24"/>
              </w:rPr>
              <w:t>）沥青烟</w:t>
            </w:r>
          </w:p>
          <w:p>
            <w:pPr>
              <w:pStyle w:val="TableParagraph"/>
              <w:spacing w:line="345" w:lineRule="auto" w:before="136"/>
              <w:ind w:left="100" w:right="11" w:firstLine="479"/>
              <w:jc w:val="left"/>
              <w:rPr>
                <w:sz w:val="24"/>
              </w:rPr>
            </w:pPr>
            <w:r>
              <w:rPr>
                <w:sz w:val="24"/>
              </w:rPr>
              <w:t>本项目路面为沥青混凝土路面，沥青烟气中主要有毒有害物质是 </w:t>
            </w:r>
            <w:r>
              <w:rPr>
                <w:rFonts w:ascii="Times New Roman" w:eastAsia="Times New Roman"/>
                <w:sz w:val="24"/>
              </w:rPr>
              <w:t>THC</w:t>
            </w:r>
            <w:r>
              <w:rPr>
                <w:sz w:val="24"/>
              </w:rPr>
              <w:t>、酚和苯并</w:t>
            </w:r>
            <w:r>
              <w:rPr>
                <w:rFonts w:ascii="Times New Roman" w:eastAsia="Times New Roman"/>
                <w:sz w:val="24"/>
              </w:rPr>
              <w:t>[a]</w:t>
            </w:r>
            <w:r>
              <w:rPr>
                <w:spacing w:val="-7"/>
                <w:sz w:val="24"/>
              </w:rPr>
              <w:t>芘，沥青烟气污染影响范围为下风向 </w:t>
            </w:r>
            <w:r>
              <w:rPr>
                <w:rFonts w:ascii="Times New Roman" w:eastAsia="Times New Roman"/>
                <w:sz w:val="24"/>
              </w:rPr>
              <w:t>100m</w:t>
            </w:r>
            <w:r>
              <w:rPr>
                <w:spacing w:val="-2"/>
                <w:sz w:val="24"/>
              </w:rPr>
              <w:t>。本项目不设沥青拌和站，项目所需的沥青均在当地购买商品沥青，沥青在专业搅拌站制成成品后， </w:t>
            </w:r>
            <w:r>
              <w:rPr>
                <w:spacing w:val="-6"/>
                <w:sz w:val="24"/>
              </w:rPr>
              <w:t>由专用运输车运至现场。</w:t>
            </w:r>
            <w:r>
              <w:rPr>
                <w:b/>
                <w:spacing w:val="-8"/>
                <w:sz w:val="24"/>
              </w:rPr>
              <w:t>采取了，沥青均采用罐装沥青专用车辆装运，以防止</w:t>
            </w:r>
            <w:r>
              <w:rPr>
                <w:b/>
                <w:spacing w:val="-11"/>
                <w:sz w:val="24"/>
              </w:rPr>
              <w:t>沿程撒落污染环境。</w:t>
            </w:r>
            <w:r>
              <w:rPr>
                <w:spacing w:val="-9"/>
                <w:sz w:val="24"/>
              </w:rPr>
              <w:t>同时，项目施工方应严格执行《公路沥青路的施工技术规范</w:t>
            </w: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2"/>
                <w:sz w:val="24"/>
              </w:rPr>
              <w:t>》，抓紧施工，缩短施工期，尽量减少沥青混凝土在施工铺设过程中沥青烟和苯并</w:t>
            </w:r>
            <w:r>
              <w:rPr>
                <w:rFonts w:ascii="Times New Roman" w:eastAsia="Times New Roman"/>
                <w:spacing w:val="-12"/>
                <w:sz w:val="24"/>
              </w:rPr>
              <w:t>[a]</w:t>
            </w:r>
            <w:r>
              <w:rPr>
                <w:spacing w:val="-10"/>
                <w:sz w:val="24"/>
              </w:rPr>
              <w:t>芘的产生和污染危害。</w:t>
            </w:r>
          </w:p>
          <w:p>
            <w:pPr>
              <w:pStyle w:val="TableParagraph"/>
              <w:spacing w:before="16"/>
              <w:ind w:left="583"/>
              <w:jc w:val="left"/>
              <w:rPr>
                <w:b/>
                <w:sz w:val="24"/>
              </w:rPr>
            </w:pPr>
            <w:r>
              <w:rPr>
                <w:rFonts w:ascii="Times New Roman" w:eastAsia="Times New Roman"/>
                <w:b/>
                <w:w w:val="95"/>
                <w:sz w:val="24"/>
              </w:rPr>
              <w:t>2</w:t>
            </w:r>
            <w:r>
              <w:rPr>
                <w:b/>
                <w:w w:val="95"/>
                <w:sz w:val="24"/>
              </w:rPr>
              <w:t>、施工噪声</w:t>
            </w:r>
          </w:p>
          <w:p>
            <w:pPr>
              <w:pStyle w:val="TableParagraph"/>
              <w:spacing w:before="135"/>
              <w:ind w:left="580"/>
              <w:jc w:val="left"/>
              <w:rPr>
                <w:sz w:val="24"/>
              </w:rPr>
            </w:pPr>
            <w:r>
              <w:rPr>
                <w:sz w:val="24"/>
              </w:rPr>
              <w:t>施工期道路主要噪声设备、车辆噪声强度见表</w:t>
            </w:r>
            <w:r>
              <w:rPr>
                <w:rFonts w:ascii="Times New Roman" w:eastAsia="Times New Roman"/>
                <w:sz w:val="24"/>
              </w:rPr>
              <w:t>5-3</w:t>
            </w:r>
            <w:r>
              <w:rPr>
                <w:sz w:val="24"/>
              </w:rPr>
              <w:t>。</w:t>
            </w:r>
          </w:p>
          <w:p>
            <w:pPr>
              <w:pStyle w:val="TableParagraph"/>
              <w:tabs>
                <w:tab w:pos="3120" w:val="left" w:leader="none"/>
              </w:tabs>
              <w:spacing w:before="132"/>
              <w:ind w:left="2258"/>
              <w:jc w:val="left"/>
              <w:rPr>
                <w:b/>
                <w:sz w:val="24"/>
              </w:rPr>
            </w:pPr>
            <w:r>
              <w:rPr>
                <w:b/>
                <w:sz w:val="24"/>
              </w:rPr>
              <w:t>表</w:t>
            </w:r>
            <w:r>
              <w:rPr>
                <w:b/>
                <w:spacing w:val="-60"/>
                <w:sz w:val="24"/>
              </w:rPr>
              <w:t> </w:t>
            </w:r>
            <w:r>
              <w:rPr>
                <w:rFonts w:ascii="Times New Roman" w:eastAsia="Times New Roman"/>
                <w:b/>
                <w:sz w:val="24"/>
              </w:rPr>
              <w:t>5-3</w:t>
              <w:tab/>
            </w:r>
            <w:r>
              <w:rPr>
                <w:b/>
                <w:w w:val="95"/>
                <w:sz w:val="24"/>
              </w:rPr>
              <w:t>施工期道路噪声声源强度表</w:t>
            </w:r>
          </w:p>
        </w:tc>
      </w:tr>
      <w:tr>
        <w:trPr>
          <w:trHeight w:val="298" w:hRule="exact"/>
        </w:trPr>
        <w:tc>
          <w:tcPr>
            <w:tcW w:w="1109" w:type="dxa"/>
            <w:tcBorders>
              <w:top w:val="single" w:sz="17" w:space="0" w:color="000000"/>
              <w:bottom w:val="single" w:sz="2" w:space="0" w:color="000000"/>
              <w:right w:val="single" w:sz="2" w:space="0" w:color="000000"/>
            </w:tcBorders>
          </w:tcPr>
          <w:p>
            <w:pPr>
              <w:pStyle w:val="TableParagraph"/>
              <w:spacing w:line="243" w:lineRule="exact"/>
              <w:ind w:left="372" w:right="267"/>
              <w:rPr>
                <w:sz w:val="21"/>
              </w:rPr>
            </w:pPr>
            <w:r>
              <w:rPr>
                <w:sz w:val="21"/>
              </w:rPr>
              <w:t>序号</w:t>
            </w:r>
          </w:p>
        </w:tc>
        <w:tc>
          <w:tcPr>
            <w:tcW w:w="2014" w:type="dxa"/>
            <w:tcBorders>
              <w:top w:val="single" w:sz="17"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声源</w:t>
            </w:r>
          </w:p>
        </w:tc>
        <w:tc>
          <w:tcPr>
            <w:tcW w:w="828" w:type="dxa"/>
            <w:tcBorders>
              <w:top w:val="single" w:sz="17" w:space="0" w:color="000000"/>
              <w:left w:val="single" w:sz="4" w:space="0" w:color="000000"/>
              <w:bottom w:val="single" w:sz="2" w:space="0" w:color="000000"/>
              <w:right w:val="single" w:sz="2" w:space="0" w:color="000000"/>
            </w:tcBorders>
          </w:tcPr>
          <w:p>
            <w:pPr>
              <w:pStyle w:val="TableParagraph"/>
              <w:spacing w:line="243" w:lineRule="exact"/>
              <w:ind w:left="180" w:right="180"/>
              <w:rPr>
                <w:sz w:val="21"/>
              </w:rPr>
            </w:pPr>
            <w:r>
              <w:rPr>
                <w:sz w:val="21"/>
              </w:rPr>
              <w:t>数量</w:t>
            </w:r>
          </w:p>
        </w:tc>
        <w:tc>
          <w:tcPr>
            <w:tcW w:w="1942" w:type="dxa"/>
            <w:tcBorders>
              <w:top w:val="single" w:sz="17" w:space="0" w:color="000000"/>
              <w:left w:val="single" w:sz="2" w:space="0" w:color="000000"/>
              <w:bottom w:val="single" w:sz="2" w:space="0" w:color="000000"/>
              <w:right w:val="single" w:sz="2" w:space="0" w:color="000000"/>
            </w:tcBorders>
          </w:tcPr>
          <w:p>
            <w:pPr>
              <w:pStyle w:val="TableParagraph"/>
              <w:spacing w:line="243" w:lineRule="exact"/>
              <w:ind w:left="423" w:right="423"/>
              <w:rPr>
                <w:sz w:val="21"/>
              </w:rPr>
            </w:pPr>
            <w:r>
              <w:rPr>
                <w:sz w:val="21"/>
              </w:rPr>
              <w:t>产噪特征</w:t>
            </w:r>
          </w:p>
        </w:tc>
        <w:tc>
          <w:tcPr>
            <w:tcW w:w="2396" w:type="dxa"/>
            <w:tcBorders>
              <w:top w:val="single" w:sz="17" w:space="0" w:color="000000"/>
              <w:left w:val="single" w:sz="2" w:space="0" w:color="000000"/>
              <w:bottom w:val="single" w:sz="2" w:space="0" w:color="000000"/>
            </w:tcBorders>
          </w:tcPr>
          <w:p>
            <w:pPr>
              <w:pStyle w:val="TableParagraph"/>
              <w:spacing w:line="259" w:lineRule="exact"/>
              <w:ind w:left="89" w:right="185"/>
              <w:rPr>
                <w:rFonts w:ascii="Times New Roman" w:eastAsia="Times New Roman"/>
                <w:sz w:val="21"/>
              </w:rPr>
            </w:pPr>
            <w:r>
              <w:rPr>
                <w:spacing w:val="-12"/>
                <w:sz w:val="21"/>
              </w:rPr>
              <w:t>声源强度 </w:t>
            </w:r>
            <w:r>
              <w:rPr>
                <w:rFonts w:ascii="Times New Roman" w:eastAsia="Times New Roman"/>
                <w:sz w:val="21"/>
              </w:rPr>
              <w:t>5m </w:t>
            </w:r>
            <w:r>
              <w:rPr>
                <w:spacing w:val="48"/>
                <w:sz w:val="21"/>
              </w:rPr>
              <w:t>处</w:t>
            </w:r>
            <w:r>
              <w:rPr>
                <w:rFonts w:ascii="Times New Roman" w:eastAsia="Times New Roman"/>
                <w:sz w:val="21"/>
              </w:rPr>
              <w:t>dB(A)]</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8</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7" w:right="185"/>
              <w:rPr>
                <w:rFonts w:ascii="Times New Roman"/>
                <w:sz w:val="21"/>
              </w:rPr>
            </w:pPr>
            <w:r>
              <w:rPr>
                <w:rFonts w:ascii="Times New Roman"/>
                <w:sz w:val="21"/>
              </w:rPr>
              <w:t>90</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2</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90</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3</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4</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5</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6</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76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7</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86</w:t>
            </w:r>
          </w:p>
        </w:tc>
      </w:tr>
      <w:tr>
        <w:trPr>
          <w:trHeight w:val="306" w:hRule="exact"/>
        </w:trPr>
        <w:tc>
          <w:tcPr>
            <w:tcW w:w="1109" w:type="dxa"/>
            <w:tcBorders>
              <w:top w:val="single" w:sz="2" w:space="0" w:color="000000"/>
              <w:bottom w:val="thinThickMediumGap" w:sz="12" w:space="0" w:color="000000"/>
              <w:right w:val="single" w:sz="2" w:space="0" w:color="000000"/>
            </w:tcBorders>
          </w:tcPr>
          <w:p>
            <w:pPr>
              <w:pStyle w:val="TableParagraph"/>
              <w:spacing w:before="10"/>
              <w:ind w:left="100"/>
              <w:rPr>
                <w:rFonts w:ascii="Times New Roman"/>
                <w:sz w:val="21"/>
              </w:rPr>
            </w:pPr>
            <w:r>
              <w:rPr>
                <w:rFonts w:ascii="Times New Roman"/>
                <w:w w:val="100"/>
                <w:sz w:val="21"/>
              </w:rPr>
              <w:t>8</w:t>
            </w:r>
          </w:p>
        </w:tc>
        <w:tc>
          <w:tcPr>
            <w:tcW w:w="2014" w:type="dxa"/>
            <w:tcBorders>
              <w:top w:val="single" w:sz="2" w:space="0" w:color="000000"/>
              <w:left w:val="single" w:sz="2" w:space="0" w:color="000000"/>
              <w:bottom w:val="thinThickMediumGap" w:sz="12" w:space="0" w:color="000000"/>
              <w:right w:val="single" w:sz="4" w:space="0" w:color="000000"/>
            </w:tcBorders>
          </w:tcPr>
          <w:p>
            <w:pPr>
              <w:pStyle w:val="TableParagraph"/>
              <w:spacing w:line="241" w:lineRule="exact"/>
              <w:ind w:left="144" w:right="142"/>
              <w:rPr>
                <w:sz w:val="21"/>
              </w:rPr>
            </w:pPr>
            <w:r>
              <w:rPr>
                <w:sz w:val="21"/>
              </w:rPr>
              <w:t>轮胎式液压挖掘机</w:t>
            </w:r>
          </w:p>
        </w:tc>
        <w:tc>
          <w:tcPr>
            <w:tcW w:w="828" w:type="dxa"/>
            <w:tcBorders>
              <w:top w:val="single" w:sz="2" w:space="0" w:color="000000"/>
              <w:left w:val="single" w:sz="4" w:space="0" w:color="000000"/>
              <w:bottom w:val="thinThickMediumGap" w:sz="1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thinThickMediumGap" w:sz="12" w:space="0" w:color="000000"/>
              <w:right w:val="single" w:sz="2" w:space="0" w:color="000000"/>
            </w:tcBorders>
          </w:tcPr>
          <w:p>
            <w:pPr>
              <w:pStyle w:val="TableParagraph"/>
              <w:spacing w:line="241" w:lineRule="exact"/>
              <w:ind w:left="423" w:right="421"/>
              <w:rPr>
                <w:sz w:val="21"/>
              </w:rPr>
            </w:pPr>
            <w:r>
              <w:rPr>
                <w:sz w:val="21"/>
              </w:rPr>
              <w:t>连续</w:t>
            </w:r>
          </w:p>
        </w:tc>
        <w:tc>
          <w:tcPr>
            <w:tcW w:w="2396" w:type="dxa"/>
            <w:tcBorders>
              <w:top w:val="single" w:sz="2" w:space="0" w:color="000000"/>
              <w:left w:val="single" w:sz="2" w:space="0" w:color="000000"/>
              <w:bottom w:val="thinThickMediumGap" w:sz="12" w:space="0" w:color="000000"/>
            </w:tcBorders>
          </w:tcPr>
          <w:p>
            <w:pPr>
              <w:pStyle w:val="TableParagraph"/>
              <w:spacing w:before="10"/>
              <w:ind w:left="86" w:right="185"/>
              <w:rPr>
                <w:rFonts w:ascii="Times New Roman"/>
                <w:sz w:val="21"/>
              </w:rPr>
            </w:pPr>
            <w:r>
              <w:rPr>
                <w:rFonts w:ascii="Times New Roman"/>
                <w:sz w:val="21"/>
              </w:rPr>
              <w:t>84</w:t>
            </w:r>
          </w:p>
        </w:tc>
      </w:tr>
    </w:tbl>
    <w:p>
      <w:pPr>
        <w:spacing w:after="0"/>
        <w:rPr>
          <w:rFonts w:ascii="Times New Roman"/>
          <w:sz w:val="21"/>
        </w:rPr>
        <w:sectPr>
          <w:pgSz w:w="11910" w:h="16850"/>
          <w:pgMar w:header="0" w:footer="1141" w:top="1440" w:bottom="1340" w:left="1680" w:right="1680"/>
        </w:sectPr>
      </w:pPr>
    </w:p>
    <w:tbl>
      <w:tblPr>
        <w:tblW w:w="0" w:type="auto"/>
        <w:jc w:val="left"/>
        <w:tblInd w:w="122" w:type="dxa"/>
        <w:tblBorders>
          <w:top w:val="single" w:sz="23" w:space="0" w:color="000000"/>
          <w:left w:val="single" w:sz="23" w:space="0" w:color="000000"/>
          <w:bottom w:val="single" w:sz="23" w:space="0" w:color="000000"/>
          <w:right w:val="single" w:sz="23" w:space="0" w:color="000000"/>
          <w:insideH w:val="single" w:sz="23" w:space="0" w:color="000000"/>
          <w:insideV w:val="single" w:sz="23"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305" w:hRule="exact"/>
        </w:trPr>
        <w:tc>
          <w:tcPr>
            <w:tcW w:w="1109" w:type="dxa"/>
            <w:tcBorders>
              <w:left w:val="single" w:sz="6" w:space="0" w:color="000000"/>
              <w:bottom w:val="single" w:sz="2" w:space="0" w:color="000000"/>
              <w:right w:val="single" w:sz="2" w:space="0" w:color="000000"/>
            </w:tcBorders>
          </w:tcPr>
          <w:p>
            <w:pPr>
              <w:pStyle w:val="TableParagraph"/>
              <w:spacing w:before="10"/>
              <w:ind w:right="444"/>
              <w:jc w:val="right"/>
              <w:rPr>
                <w:rFonts w:ascii="Times New Roman"/>
                <w:sz w:val="21"/>
              </w:rPr>
            </w:pPr>
            <w:r>
              <w:rPr>
                <w:rFonts w:ascii="Times New Roman"/>
                <w:w w:val="100"/>
                <w:sz w:val="21"/>
              </w:rPr>
              <w:t>9</w:t>
            </w:r>
          </w:p>
        </w:tc>
        <w:tc>
          <w:tcPr>
            <w:tcW w:w="2014" w:type="dxa"/>
            <w:tcBorders>
              <w:left w:val="single" w:sz="2" w:space="0" w:color="000000"/>
              <w:bottom w:val="single" w:sz="2" w:space="0" w:color="000000"/>
              <w:right w:val="single" w:sz="4" w:space="0" w:color="000000"/>
            </w:tcBorders>
          </w:tcPr>
          <w:p>
            <w:pPr>
              <w:pStyle w:val="TableParagraph"/>
              <w:spacing w:line="244" w:lineRule="exact"/>
              <w:ind w:left="144" w:right="140"/>
              <w:rPr>
                <w:sz w:val="21"/>
              </w:rPr>
            </w:pPr>
            <w:r>
              <w:rPr>
                <w:sz w:val="21"/>
              </w:rPr>
              <w:t>冲击式钻井机</w:t>
            </w:r>
          </w:p>
        </w:tc>
        <w:tc>
          <w:tcPr>
            <w:tcW w:w="828" w:type="dxa"/>
            <w:tcBorders>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left w:val="single" w:sz="2" w:space="0" w:color="000000"/>
              <w:bottom w:val="single" w:sz="2" w:space="0" w:color="000000"/>
              <w:right w:val="single" w:sz="2" w:space="0" w:color="000000"/>
            </w:tcBorders>
          </w:tcPr>
          <w:p>
            <w:pPr>
              <w:pStyle w:val="TableParagraph"/>
              <w:spacing w:line="244" w:lineRule="exact"/>
              <w:ind w:left="423" w:right="421"/>
              <w:rPr>
                <w:sz w:val="21"/>
              </w:rPr>
            </w:pPr>
            <w:r>
              <w:rPr>
                <w:sz w:val="21"/>
              </w:rPr>
              <w:t>连续</w:t>
            </w:r>
          </w:p>
        </w:tc>
        <w:tc>
          <w:tcPr>
            <w:tcW w:w="2396" w:type="dxa"/>
            <w:tcBorders>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391"/>
              <w:jc w:val="right"/>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82</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401"/>
              <w:jc w:val="right"/>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98" w:hRule="exact"/>
        </w:trPr>
        <w:tc>
          <w:tcPr>
            <w:tcW w:w="1109" w:type="dxa"/>
            <w:tcBorders>
              <w:top w:val="single" w:sz="2" w:space="0" w:color="000000"/>
              <w:left w:val="single" w:sz="6" w:space="0" w:color="000000"/>
              <w:bottom w:val="single" w:sz="17" w:space="0" w:color="000000"/>
              <w:right w:val="single" w:sz="2" w:space="0" w:color="000000"/>
            </w:tcBorders>
          </w:tcPr>
          <w:p>
            <w:pPr>
              <w:pStyle w:val="TableParagraph"/>
              <w:spacing w:before="8"/>
              <w:ind w:right="391"/>
              <w:jc w:val="right"/>
              <w:rPr>
                <w:rFonts w:ascii="Times New Roman"/>
                <w:sz w:val="21"/>
              </w:rPr>
            </w:pPr>
            <w:r>
              <w:rPr>
                <w:rFonts w:ascii="Times New Roman"/>
                <w:sz w:val="21"/>
              </w:rPr>
              <w:t>12</w:t>
            </w:r>
          </w:p>
        </w:tc>
        <w:tc>
          <w:tcPr>
            <w:tcW w:w="2014" w:type="dxa"/>
            <w:tcBorders>
              <w:top w:val="single" w:sz="2" w:space="0" w:color="000000"/>
              <w:left w:val="single" w:sz="2" w:space="0" w:color="000000"/>
              <w:bottom w:val="single" w:sz="17" w:space="0" w:color="000000"/>
              <w:right w:val="single" w:sz="4" w:space="0" w:color="000000"/>
            </w:tcBorders>
          </w:tcPr>
          <w:p>
            <w:pPr>
              <w:pStyle w:val="TableParagraph"/>
              <w:spacing w:line="241" w:lineRule="exact"/>
              <w:ind w:left="143" w:right="142"/>
              <w:rPr>
                <w:sz w:val="21"/>
              </w:rPr>
            </w:pPr>
            <w:r>
              <w:rPr>
                <w:sz w:val="21"/>
              </w:rPr>
              <w:t>发电机组</w:t>
            </w:r>
          </w:p>
        </w:tc>
        <w:tc>
          <w:tcPr>
            <w:tcW w:w="828" w:type="dxa"/>
            <w:tcBorders>
              <w:top w:val="single" w:sz="2" w:space="0" w:color="000000"/>
              <w:left w:val="single" w:sz="4" w:space="0" w:color="000000"/>
              <w:bottom w:val="single" w:sz="17" w:space="0" w:color="000000"/>
              <w:right w:val="single" w:sz="2" w:space="0" w:color="000000"/>
            </w:tcBorders>
          </w:tcPr>
          <w:p>
            <w:pPr>
              <w:pStyle w:val="TableParagraph"/>
              <w:spacing w:before="8"/>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17" w:space="0" w:color="000000"/>
              <w:right w:val="single" w:sz="2" w:space="0" w:color="000000"/>
            </w:tcBorders>
          </w:tcPr>
          <w:p>
            <w:pPr>
              <w:pStyle w:val="TableParagraph"/>
              <w:spacing w:line="241" w:lineRule="exact"/>
              <w:ind w:left="423" w:right="423"/>
              <w:rPr>
                <w:sz w:val="21"/>
              </w:rPr>
            </w:pPr>
            <w:r>
              <w:rPr>
                <w:sz w:val="21"/>
              </w:rPr>
              <w:t>连续，稳态</w:t>
            </w:r>
          </w:p>
        </w:tc>
        <w:tc>
          <w:tcPr>
            <w:tcW w:w="2396" w:type="dxa"/>
            <w:tcBorders>
              <w:top w:val="single" w:sz="2" w:space="0" w:color="000000"/>
              <w:left w:val="single" w:sz="2" w:space="0" w:color="000000"/>
              <w:bottom w:val="single" w:sz="17" w:space="0" w:color="000000"/>
              <w:right w:val="single" w:sz="6" w:space="0" w:color="000000"/>
            </w:tcBorders>
          </w:tcPr>
          <w:p>
            <w:pPr>
              <w:pStyle w:val="TableParagraph"/>
              <w:spacing w:before="8"/>
              <w:ind w:left="1036"/>
              <w:jc w:val="left"/>
              <w:rPr>
                <w:rFonts w:ascii="Times New Roman"/>
                <w:sz w:val="21"/>
              </w:rPr>
            </w:pPr>
            <w:r>
              <w:rPr>
                <w:rFonts w:ascii="Times New Roman"/>
                <w:sz w:val="21"/>
              </w:rPr>
              <w:t>98</w:t>
            </w:r>
          </w:p>
        </w:tc>
      </w:tr>
      <w:tr>
        <w:trPr>
          <w:trHeight w:val="12638" w:hRule="exact"/>
        </w:trPr>
        <w:tc>
          <w:tcPr>
            <w:tcW w:w="8289" w:type="dxa"/>
            <w:gridSpan w:val="5"/>
            <w:tcBorders>
              <w:top w:val="single" w:sz="17" w:space="0" w:color="000000"/>
              <w:left w:val="single" w:sz="6" w:space="0" w:color="000000"/>
              <w:bottom w:val="single" w:sz="6" w:space="0" w:color="000000"/>
              <w:right w:val="single" w:sz="6" w:space="0" w:color="000000"/>
            </w:tcBorders>
          </w:tcPr>
          <w:p>
            <w:pPr>
              <w:pStyle w:val="TableParagraph"/>
              <w:spacing w:line="292" w:lineRule="exact"/>
              <w:ind w:left="100" w:firstLine="479"/>
              <w:jc w:val="left"/>
              <w:rPr>
                <w:sz w:val="24"/>
              </w:rPr>
            </w:pPr>
            <w:r>
              <w:rPr>
                <w:sz w:val="24"/>
              </w:rPr>
              <w:t>根据现场踏勘，根据现场调查，本项目沿线主要分布机关办公区、</w:t>
            </w:r>
            <w:r>
              <w:rPr>
                <w:rFonts w:ascii="Times New Roman" w:eastAsia="Times New Roman"/>
                <w:sz w:val="24"/>
              </w:rPr>
              <w:t>2</w:t>
            </w:r>
            <w:r>
              <w:rPr>
                <w:sz w:val="24"/>
              </w:rPr>
              <w:t>户零</w:t>
            </w:r>
          </w:p>
          <w:p>
            <w:pPr>
              <w:pStyle w:val="TableParagraph"/>
              <w:spacing w:line="357" w:lineRule="auto" w:before="133"/>
              <w:ind w:left="100" w:right="96"/>
              <w:jc w:val="both"/>
              <w:rPr>
                <w:sz w:val="24"/>
              </w:rPr>
            </w:pPr>
            <w:r>
              <w:rPr>
                <w:spacing w:val="-9"/>
                <w:sz w:val="24"/>
              </w:rPr>
              <w:t>散住户，因为避免项目对住户、办公人员造成噪声污染，建设单位采取了以下措施：</w:t>
            </w:r>
          </w:p>
          <w:p>
            <w:pPr>
              <w:pStyle w:val="TableParagraph"/>
              <w:spacing w:before="36"/>
              <w:ind w:left="580"/>
              <w:jc w:val="left"/>
              <w:rPr>
                <w:sz w:val="24"/>
              </w:rPr>
            </w:pPr>
            <w:r>
              <w:rPr>
                <w:rFonts w:ascii="Times New Roman" w:eastAsia="Times New Roman"/>
                <w:sz w:val="24"/>
              </w:rPr>
              <w:t>1</w:t>
            </w:r>
            <w:r>
              <w:rPr>
                <w:sz w:val="24"/>
              </w:rPr>
              <w:t>）施工期间，施工区域建架设</w:t>
            </w:r>
            <w:r>
              <w:rPr>
                <w:rFonts w:ascii="Times New Roman" w:eastAsia="Times New Roman"/>
                <w:sz w:val="24"/>
              </w:rPr>
              <w:t>1.8m</w:t>
            </w:r>
            <w:r>
              <w:rPr>
                <w:sz w:val="24"/>
              </w:rPr>
              <w:t>围挡，并采取防尘措施；</w:t>
            </w:r>
          </w:p>
          <w:p>
            <w:pPr>
              <w:pStyle w:val="TableParagraph"/>
              <w:spacing w:line="348" w:lineRule="auto" w:before="133"/>
              <w:ind w:left="100" w:right="11" w:firstLine="479"/>
              <w:jc w:val="both"/>
              <w:rPr>
                <w:sz w:val="24"/>
              </w:rPr>
            </w:pPr>
            <w:r>
              <w:rPr>
                <w:rFonts w:ascii="Times New Roman" w:eastAsia="Times New Roman"/>
                <w:sz w:val="24"/>
              </w:rPr>
              <w:t>2</w:t>
            </w:r>
            <w:r>
              <w:rPr>
                <w:sz w:val="24"/>
              </w:rPr>
              <w:t>）尽量采用低噪声机械，工程施工所用的施工机械设备应事先对其常规</w:t>
            </w:r>
            <w:r>
              <w:rPr>
                <w:spacing w:val="-7"/>
                <w:sz w:val="24"/>
              </w:rPr>
              <w:t>工作状态下的噪声测量，超过国家标准的机械禁止入场施工；施工过程中应经常对设备进行维修保养，避免因使用的设备性能差而使噪声增加的现象发生；</w:t>
            </w:r>
          </w:p>
          <w:p>
            <w:pPr>
              <w:pStyle w:val="TableParagraph"/>
              <w:spacing w:before="45"/>
              <w:ind w:left="580"/>
              <w:jc w:val="left"/>
              <w:rPr>
                <w:sz w:val="24"/>
              </w:rPr>
            </w:pPr>
            <w:r>
              <w:rPr>
                <w:rFonts w:ascii="Times New Roman" w:eastAsia="Times New Roman"/>
                <w:sz w:val="24"/>
              </w:rPr>
              <w:t>3</w:t>
            </w:r>
            <w:r>
              <w:rPr>
                <w:sz w:val="24"/>
              </w:rPr>
              <w:t>）禁止安排推土机、装载机、压路机、摊铺机等高噪声设备在午间</w:t>
            </w:r>
          </w:p>
          <w:p>
            <w:pPr>
              <w:pStyle w:val="TableParagraph"/>
              <w:spacing w:line="352" w:lineRule="auto" w:before="133"/>
              <w:ind w:left="100" w:right="101"/>
              <w:jc w:val="both"/>
              <w:rPr>
                <w:sz w:val="24"/>
              </w:rPr>
            </w:pPr>
            <w:r>
              <w:rPr>
                <w:rFonts w:ascii="Times New Roman" w:eastAsia="Times New Roman"/>
                <w:sz w:val="24"/>
              </w:rPr>
              <w:t>12:00-14:00</w:t>
            </w:r>
            <w:r>
              <w:rPr>
                <w:sz w:val="24"/>
              </w:rPr>
              <w:t>，夜间</w:t>
            </w:r>
            <w:r>
              <w:rPr>
                <w:rFonts w:ascii="Times New Roman" w:eastAsia="Times New Roman"/>
                <w:sz w:val="24"/>
              </w:rPr>
              <w:t>22:00-6:00</w:t>
            </w:r>
            <w:r>
              <w:rPr>
                <w:sz w:val="24"/>
              </w:rPr>
              <w:t>作业，保证周围居民的正常休息时间，同时，高</w:t>
            </w:r>
            <w:r>
              <w:rPr>
                <w:spacing w:val="-5"/>
                <w:sz w:val="24"/>
              </w:rPr>
              <w:t>噪声施工设备工作位置应尽量远离敏感点；同时，尽量避免多个机械设备同时</w:t>
            </w:r>
            <w:r>
              <w:rPr>
                <w:spacing w:val="-10"/>
                <w:sz w:val="24"/>
              </w:rPr>
              <w:t>施工，尽量减少施工噪声对各个敏感点的影响程度；若夜间必须连续施工作业</w:t>
            </w:r>
            <w:r>
              <w:rPr>
                <w:spacing w:val="-11"/>
                <w:sz w:val="24"/>
              </w:rPr>
              <w:t>的工点，施工单位应视具体情况及时与环保部门、建设局等相关主管部分取得联系，按规定申领夜间施工证，同时发布公告最大限度地争取民众支持。</w:t>
            </w:r>
          </w:p>
          <w:p>
            <w:pPr>
              <w:pStyle w:val="TableParagraph"/>
              <w:spacing w:line="336" w:lineRule="auto" w:before="41"/>
              <w:ind w:left="100" w:firstLine="479"/>
              <w:jc w:val="left"/>
              <w:rPr>
                <w:sz w:val="24"/>
              </w:rPr>
            </w:pPr>
            <w:r>
              <w:rPr>
                <w:rFonts w:ascii="Times New Roman" w:eastAsia="Times New Roman"/>
                <w:sz w:val="24"/>
              </w:rPr>
              <w:t>4</w:t>
            </w:r>
            <w:r>
              <w:rPr>
                <w:sz w:val="24"/>
              </w:rPr>
              <w:t>）加强施工管理，轻拿轻放施工器械和施工材料；运输车辆进入现场应减速、并减少鸣笛等；</w:t>
            </w:r>
          </w:p>
          <w:p>
            <w:pPr>
              <w:pStyle w:val="TableParagraph"/>
              <w:spacing w:line="336" w:lineRule="auto" w:before="57"/>
              <w:ind w:left="100" w:firstLine="479"/>
              <w:jc w:val="left"/>
              <w:rPr>
                <w:sz w:val="24"/>
              </w:rPr>
            </w:pPr>
            <w:r>
              <w:rPr>
                <w:rFonts w:ascii="Times New Roman" w:eastAsia="Times New Roman"/>
                <w:sz w:val="24"/>
              </w:rPr>
              <w:t>5</w:t>
            </w:r>
            <w:r>
              <w:rPr>
                <w:sz w:val="24"/>
              </w:rPr>
              <w:t>）建设单位应按要求在现场张贴通告和投诉电话，建设单位在接到投诉电话后及时与当地环保部门联系，以便及时处理各种环境纠纷；</w:t>
            </w:r>
          </w:p>
          <w:p>
            <w:pPr>
              <w:pStyle w:val="TableParagraph"/>
              <w:spacing w:before="57"/>
              <w:ind w:left="580"/>
              <w:jc w:val="left"/>
              <w:rPr>
                <w:sz w:val="24"/>
              </w:rPr>
            </w:pPr>
            <w:r>
              <w:rPr>
                <w:rFonts w:ascii="Times New Roman" w:eastAsia="Times New Roman"/>
                <w:sz w:val="24"/>
              </w:rPr>
              <w:t>6</w:t>
            </w:r>
            <w:r>
              <w:rPr>
                <w:sz w:val="24"/>
              </w:rPr>
              <w:t>）严格执行中、高考期间禁止施工要求。</w:t>
            </w:r>
          </w:p>
          <w:p>
            <w:pPr>
              <w:pStyle w:val="TableParagraph"/>
              <w:spacing w:before="133"/>
              <w:ind w:left="583"/>
              <w:jc w:val="left"/>
              <w:rPr>
                <w:b/>
                <w:sz w:val="24"/>
              </w:rPr>
            </w:pPr>
            <w:r>
              <w:rPr>
                <w:rFonts w:ascii="Times New Roman" w:eastAsia="Times New Roman"/>
                <w:b/>
                <w:w w:val="95"/>
                <w:sz w:val="24"/>
              </w:rPr>
              <w:t>3</w:t>
            </w:r>
            <w:r>
              <w:rPr>
                <w:b/>
                <w:w w:val="95"/>
                <w:sz w:val="24"/>
              </w:rPr>
              <w:t>、废水</w:t>
            </w:r>
          </w:p>
          <w:p>
            <w:pPr>
              <w:pStyle w:val="TableParagraph"/>
              <w:spacing w:before="135"/>
              <w:ind w:left="580"/>
              <w:jc w:val="left"/>
              <w:rPr>
                <w:sz w:val="24"/>
              </w:rPr>
            </w:pPr>
            <w:r>
              <w:rPr>
                <w:sz w:val="24"/>
              </w:rPr>
              <w:t>施工期废水主要为路基开挖积水、施工人员生活污水、施工废水。</w:t>
            </w:r>
          </w:p>
          <w:p>
            <w:pPr>
              <w:pStyle w:val="TableParagraph"/>
              <w:spacing w:before="154"/>
              <w:ind w:left="580"/>
              <w:jc w:val="left"/>
              <w:rPr>
                <w:sz w:val="24"/>
              </w:rPr>
            </w:pPr>
            <w:r>
              <w:rPr>
                <w:sz w:val="24"/>
              </w:rPr>
              <w:t>（</w:t>
            </w:r>
            <w:r>
              <w:rPr>
                <w:rFonts w:ascii="Times New Roman" w:eastAsia="Times New Roman"/>
                <w:sz w:val="24"/>
              </w:rPr>
              <w:t>1</w:t>
            </w:r>
            <w:r>
              <w:rPr>
                <w:sz w:val="24"/>
              </w:rPr>
              <w:t>）路基开挖积水</w:t>
            </w:r>
          </w:p>
          <w:p>
            <w:pPr>
              <w:pStyle w:val="TableParagraph"/>
              <w:spacing w:line="357" w:lineRule="auto" w:before="133"/>
              <w:ind w:left="100" w:right="94" w:firstLine="479"/>
              <w:jc w:val="left"/>
              <w:rPr>
                <w:sz w:val="24"/>
              </w:rPr>
            </w:pPr>
            <w:r>
              <w:rPr>
                <w:spacing w:val="-9"/>
                <w:sz w:val="24"/>
              </w:rPr>
              <w:t>一般情况下，路基施工产生的排水为清下水，就近排入沟渠或市政雨水管网。</w:t>
            </w:r>
          </w:p>
          <w:p>
            <w:pPr>
              <w:pStyle w:val="TableParagraph"/>
              <w:spacing w:before="33"/>
              <w:ind w:left="580"/>
              <w:jc w:val="left"/>
              <w:rPr>
                <w:sz w:val="24"/>
              </w:rPr>
            </w:pPr>
            <w:r>
              <w:rPr>
                <w:sz w:val="24"/>
              </w:rPr>
              <w:t>（</w:t>
            </w:r>
            <w:r>
              <w:rPr>
                <w:rFonts w:ascii="Times New Roman" w:eastAsia="Times New Roman"/>
                <w:sz w:val="24"/>
              </w:rPr>
              <w:t>2</w:t>
            </w:r>
            <w:r>
              <w:rPr>
                <w:sz w:val="24"/>
              </w:rPr>
              <w:t>）施工废水</w:t>
            </w:r>
          </w:p>
          <w:p>
            <w:pPr>
              <w:pStyle w:val="TableParagraph"/>
              <w:spacing w:line="355" w:lineRule="auto" w:before="135"/>
              <w:ind w:left="100" w:firstLine="479"/>
              <w:jc w:val="left"/>
              <w:rPr>
                <w:sz w:val="24"/>
              </w:rPr>
            </w:pPr>
            <w:r>
              <w:rPr>
                <w:spacing w:val="-6"/>
                <w:sz w:val="24"/>
              </w:rPr>
              <w:t>施工期施工废水主要为开挖、钻孔产生的泥浆水、各种施工机械设备运转</w:t>
            </w:r>
            <w:r>
              <w:rPr>
                <w:spacing w:val="10"/>
                <w:sz w:val="24"/>
              </w:rPr>
              <w:t>的冷却水、设备和运输车辆冲洗水，工程施工期间使用的生产用水总量约</w:t>
            </w:r>
          </w:p>
          <w:p>
            <w:pPr>
              <w:pStyle w:val="TableParagraph"/>
              <w:spacing w:before="38"/>
              <w:ind w:left="100"/>
              <w:jc w:val="both"/>
              <w:rPr>
                <w:sz w:val="24"/>
              </w:rPr>
            </w:pPr>
            <w:r>
              <w:rPr>
                <w:rFonts w:ascii="Times New Roman" w:eastAsia="Times New Roman"/>
                <w:sz w:val="24"/>
              </w:rPr>
              <w:t>8m</w:t>
            </w:r>
            <w:r>
              <w:rPr>
                <w:rFonts w:ascii="Times New Roman" w:eastAsia="Times New Roman"/>
                <w:position w:val="11"/>
                <w:sz w:val="16"/>
              </w:rPr>
              <w:t>3</w:t>
            </w:r>
            <w:r>
              <w:rPr>
                <w:rFonts w:ascii="Times New Roman" w:eastAsia="Times New Roman"/>
                <w:sz w:val="24"/>
              </w:rPr>
              <w:t>/d</w:t>
            </w:r>
            <w:r>
              <w:rPr>
                <w:sz w:val="24"/>
              </w:rPr>
              <w:t>，排放系数</w:t>
            </w:r>
            <w:r>
              <w:rPr>
                <w:rFonts w:ascii="Times New Roman" w:eastAsia="Times New Roman"/>
                <w:sz w:val="24"/>
              </w:rPr>
              <w:t>0.9</w:t>
            </w:r>
            <w:r>
              <w:rPr>
                <w:sz w:val="24"/>
              </w:rPr>
              <w:t>，则施工废水量约</w:t>
            </w:r>
            <w:r>
              <w:rPr>
                <w:rFonts w:ascii="Times New Roman" w:eastAsia="Times New Roman"/>
                <w:sz w:val="24"/>
              </w:rPr>
              <w:t>7.2m</w:t>
            </w:r>
            <w:r>
              <w:rPr>
                <w:rFonts w:ascii="Times New Roman" w:eastAsia="Times New Roman"/>
                <w:position w:val="11"/>
                <w:sz w:val="16"/>
              </w:rPr>
              <w:t>3</w:t>
            </w:r>
            <w:r>
              <w:rPr>
                <w:rFonts w:ascii="Times New Roman" w:eastAsia="Times New Roman"/>
                <w:sz w:val="24"/>
              </w:rPr>
              <w:t>/d</w:t>
            </w:r>
            <w:r>
              <w:rPr>
                <w:sz w:val="24"/>
              </w:rPr>
              <w:t>，施工废水污染物产生总量情况</w:t>
            </w:r>
          </w:p>
        </w:tc>
      </w:tr>
    </w:tbl>
    <w:p>
      <w:pPr>
        <w:spacing w:after="0"/>
        <w:jc w:val="both"/>
        <w:rPr>
          <w:sz w:val="24"/>
        </w:rPr>
        <w:sectPr>
          <w:pgSz w:w="11910" w:h="16850"/>
          <w:pgMar w:header="0" w:footer="1141" w:top="1440" w:bottom="1340" w:left="1680" w:right="1680"/>
        </w:sectPr>
      </w:pPr>
    </w:p>
    <w:p>
      <w:pPr>
        <w:pStyle w:val="BodyText"/>
        <w:spacing w:before="13"/>
        <w:ind w:left="238"/>
      </w:pPr>
      <w:r>
        <w:rPr/>
        <w:pict>
          <v:group style="position:absolute;margin-left:89.768997pt;margin-top:71.984978pt;width:415.95pt;height:688.5pt;mso-position-horizontal-relative:page;mso-position-vertical-relative:page;z-index:-197920" coordorigin="1795,1440" coordsize="8319,13770">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5202" stroked="true" strokeweight=".72pt" strokecolor="#000000">
              <v:stroke dashstyle="solid"/>
            </v:line>
            <v:line style="position:absolute" from="1817,15194" to="10091,15194" stroked="true" strokeweight=".72003pt" strokecolor="#000000">
              <v:stroke dashstyle="solid"/>
            </v:line>
            <v:line style="position:absolute" from="10099,1454" to="10099,15202" stroked="true" strokeweight=".71997pt" strokecolor="#000000">
              <v:stroke dashstyle="solid"/>
            </v:line>
            <w10:wrap type="none"/>
          </v:group>
        </w:pict>
      </w:r>
      <w:r>
        <w:rPr/>
        <w:t>见表</w:t>
      </w:r>
      <w:r>
        <w:rPr>
          <w:rFonts w:ascii="Times New Roman" w:eastAsia="Times New Roman"/>
        </w:rPr>
        <w:t>5-4</w:t>
      </w:r>
      <w:r>
        <w:rPr/>
        <w:t>。</w:t>
      </w:r>
    </w:p>
    <w:p>
      <w:pPr>
        <w:pStyle w:val="Heading3"/>
        <w:tabs>
          <w:tab w:pos="3377" w:val="left" w:leader="none"/>
        </w:tabs>
        <w:spacing w:before="135"/>
        <w:ind w:left="2516"/>
      </w:pPr>
      <w:r>
        <w:rPr/>
        <w:t>表</w:t>
      </w:r>
      <w:r>
        <w:rPr>
          <w:spacing w:val="-60"/>
        </w:rPr>
        <w:t> </w:t>
      </w:r>
      <w:r>
        <w:rPr>
          <w:rFonts w:ascii="Times New Roman" w:eastAsia="Times New Roman"/>
        </w:rPr>
        <w:t>5-4</w:t>
        <w:tab/>
      </w:r>
      <w:r>
        <w:rPr>
          <w:w w:val="95"/>
        </w:rPr>
        <w:t>施工废水产生总量一览表</w:t>
      </w:r>
    </w:p>
    <w:p>
      <w:pPr>
        <w:pStyle w:val="BodyText"/>
        <w:spacing w:before="2" w:after="1"/>
        <w:rPr>
          <w:b/>
          <w:sz w:val="12"/>
        </w:rPr>
      </w:pPr>
    </w:p>
    <w:tbl>
      <w:tblPr>
        <w:tblW w:w="0" w:type="auto"/>
        <w:jc w:val="left"/>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65"/>
        <w:gridCol w:w="2172"/>
        <w:gridCol w:w="1745"/>
        <w:gridCol w:w="1390"/>
      </w:tblGrid>
      <w:tr>
        <w:trPr>
          <w:trHeight w:val="614" w:hRule="exact"/>
        </w:trPr>
        <w:tc>
          <w:tcPr>
            <w:tcW w:w="2765" w:type="dxa"/>
            <w:tcBorders>
              <w:left w:val="nil"/>
            </w:tcBorders>
          </w:tcPr>
          <w:p>
            <w:pPr>
              <w:pStyle w:val="TableParagraph"/>
              <w:spacing w:before="176"/>
              <w:ind w:left="1047" w:right="1043"/>
              <w:rPr>
                <w:sz w:val="21"/>
              </w:rPr>
            </w:pPr>
            <w:r>
              <w:rPr>
                <w:sz w:val="21"/>
              </w:rPr>
              <w:t>污染物</w:t>
            </w:r>
          </w:p>
        </w:tc>
        <w:tc>
          <w:tcPr>
            <w:tcW w:w="2172" w:type="dxa"/>
          </w:tcPr>
          <w:p>
            <w:pPr>
              <w:pStyle w:val="TableParagraph"/>
              <w:spacing w:before="176"/>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Pr>
          <w:p>
            <w:pPr>
              <w:pStyle w:val="TableParagraph"/>
              <w:spacing w:before="176"/>
              <w:ind w:left="200" w:right="200"/>
              <w:rPr>
                <w:sz w:val="21"/>
              </w:rPr>
            </w:pPr>
            <w:r>
              <w:rPr>
                <w:sz w:val="21"/>
              </w:rPr>
              <w:t>浓度（</w:t>
            </w:r>
            <w:r>
              <w:rPr>
                <w:rFonts w:ascii="Times New Roman" w:eastAsia="Times New Roman"/>
                <w:sz w:val="21"/>
              </w:rPr>
              <w:t>mg/L</w:t>
            </w:r>
            <w:r>
              <w:rPr>
                <w:sz w:val="21"/>
              </w:rPr>
              <w:t>）</w:t>
            </w:r>
          </w:p>
        </w:tc>
        <w:tc>
          <w:tcPr>
            <w:tcW w:w="1390" w:type="dxa"/>
            <w:tcBorders>
              <w:right w:val="nil"/>
            </w:tcBorders>
          </w:tcPr>
          <w:p>
            <w:pPr>
              <w:pStyle w:val="TableParagraph"/>
              <w:spacing w:line="274" w:lineRule="exact" w:before="39"/>
              <w:ind w:left="372"/>
              <w:jc w:val="left"/>
              <w:rPr>
                <w:sz w:val="21"/>
              </w:rPr>
            </w:pPr>
            <w:r>
              <w:rPr>
                <w:sz w:val="21"/>
              </w:rPr>
              <w:t>产生量</w:t>
            </w:r>
          </w:p>
          <w:p>
            <w:pPr>
              <w:pStyle w:val="TableParagraph"/>
              <w:spacing w:line="290" w:lineRule="exact"/>
              <w:ind w:left="290"/>
              <w:jc w:val="left"/>
              <w:rPr>
                <w:sz w:val="21"/>
              </w:rPr>
            </w:pPr>
            <w:r>
              <w:rPr>
                <w:sz w:val="21"/>
              </w:rPr>
              <w:t>（</w:t>
            </w:r>
            <w:r>
              <w:rPr>
                <w:rFonts w:ascii="Times New Roman" w:eastAsia="Times New Roman"/>
                <w:sz w:val="21"/>
              </w:rPr>
              <w:t>kg/d</w:t>
            </w:r>
            <w:r>
              <w:rPr>
                <w:sz w:val="21"/>
              </w:rPr>
              <w:t>）</w:t>
            </w:r>
          </w:p>
        </w:tc>
      </w:tr>
      <w:tr>
        <w:trPr>
          <w:trHeight w:val="312" w:hRule="exact"/>
        </w:trPr>
        <w:tc>
          <w:tcPr>
            <w:tcW w:w="2765" w:type="dxa"/>
            <w:tcBorders>
              <w:left w:val="nil"/>
            </w:tcBorders>
          </w:tcPr>
          <w:p>
            <w:pPr>
              <w:pStyle w:val="TableParagraph"/>
              <w:spacing w:before="69"/>
              <w:ind w:left="1045" w:right="1043"/>
              <w:rPr>
                <w:rFonts w:ascii="Times New Roman"/>
                <w:sz w:val="21"/>
              </w:rPr>
            </w:pPr>
            <w:r>
              <w:rPr>
                <w:rFonts w:ascii="Times New Roman"/>
                <w:sz w:val="21"/>
              </w:rPr>
              <w:t>COD</w:t>
            </w:r>
          </w:p>
        </w:tc>
        <w:tc>
          <w:tcPr>
            <w:tcW w:w="2172" w:type="dxa"/>
            <w:vMerge w:val="restart"/>
          </w:tcPr>
          <w:p>
            <w:pPr>
              <w:pStyle w:val="TableParagraph"/>
              <w:spacing w:before="3"/>
              <w:jc w:val="left"/>
              <w:rPr>
                <w:b/>
                <w:sz w:val="30"/>
              </w:rPr>
            </w:pPr>
          </w:p>
          <w:p>
            <w:pPr>
              <w:pStyle w:val="TableParagraph"/>
              <w:ind w:left="931" w:right="929"/>
              <w:rPr>
                <w:rFonts w:ascii="Times New Roman"/>
                <w:sz w:val="21"/>
              </w:rPr>
            </w:pPr>
            <w:r>
              <w:rPr>
                <w:rFonts w:ascii="Times New Roman"/>
                <w:sz w:val="21"/>
              </w:rPr>
              <w:t>7.2</w:t>
            </w:r>
          </w:p>
        </w:tc>
        <w:tc>
          <w:tcPr>
            <w:tcW w:w="1745" w:type="dxa"/>
          </w:tcPr>
          <w:p>
            <w:pPr>
              <w:pStyle w:val="TableParagraph"/>
              <w:spacing w:before="69"/>
              <w:ind w:left="200" w:right="198"/>
              <w:rPr>
                <w:rFonts w:ascii="Times New Roman"/>
                <w:sz w:val="21"/>
              </w:rPr>
            </w:pPr>
            <w:r>
              <w:rPr>
                <w:rFonts w:ascii="Times New Roman"/>
                <w:sz w:val="21"/>
              </w:rPr>
              <w:t>150</w:t>
            </w:r>
          </w:p>
        </w:tc>
        <w:tc>
          <w:tcPr>
            <w:tcW w:w="1390" w:type="dxa"/>
            <w:tcBorders>
              <w:right w:val="nil"/>
            </w:tcBorders>
          </w:tcPr>
          <w:p>
            <w:pPr>
              <w:pStyle w:val="TableParagraph"/>
              <w:spacing w:before="69"/>
              <w:ind w:right="509"/>
              <w:jc w:val="right"/>
              <w:rPr>
                <w:rFonts w:ascii="Times New Roman"/>
                <w:sz w:val="21"/>
              </w:rPr>
            </w:pPr>
            <w:r>
              <w:rPr>
                <w:rFonts w:ascii="Times New Roman"/>
                <w:sz w:val="21"/>
              </w:rPr>
              <w:t>1.08</w:t>
            </w:r>
          </w:p>
        </w:tc>
      </w:tr>
      <w:tr>
        <w:trPr>
          <w:trHeight w:val="312" w:hRule="exact"/>
        </w:trPr>
        <w:tc>
          <w:tcPr>
            <w:tcW w:w="2765" w:type="dxa"/>
            <w:tcBorders>
              <w:left w:val="nil"/>
            </w:tcBorders>
          </w:tcPr>
          <w:p>
            <w:pPr>
              <w:pStyle w:val="TableParagraph"/>
              <w:spacing w:before="67"/>
              <w:ind w:left="1047" w:right="1043"/>
              <w:rPr>
                <w:rFonts w:ascii="Times New Roman"/>
                <w:sz w:val="21"/>
              </w:rPr>
            </w:pPr>
            <w:r>
              <w:rPr>
                <w:rFonts w:ascii="Times New Roman"/>
                <w:sz w:val="21"/>
              </w:rPr>
              <w:t>SS</w:t>
            </w:r>
          </w:p>
        </w:tc>
        <w:tc>
          <w:tcPr>
            <w:tcW w:w="2172" w:type="dxa"/>
            <w:vMerge/>
          </w:tcPr>
          <w:p>
            <w:pPr/>
          </w:p>
        </w:tc>
        <w:tc>
          <w:tcPr>
            <w:tcW w:w="1745" w:type="dxa"/>
          </w:tcPr>
          <w:p>
            <w:pPr>
              <w:pStyle w:val="TableParagraph"/>
              <w:spacing w:before="67"/>
              <w:ind w:left="200" w:right="198"/>
              <w:rPr>
                <w:rFonts w:ascii="Times New Roman"/>
                <w:sz w:val="21"/>
              </w:rPr>
            </w:pPr>
            <w:r>
              <w:rPr>
                <w:rFonts w:ascii="Times New Roman"/>
                <w:sz w:val="21"/>
              </w:rPr>
              <w:t>250</w:t>
            </w:r>
          </w:p>
        </w:tc>
        <w:tc>
          <w:tcPr>
            <w:tcW w:w="1390" w:type="dxa"/>
            <w:tcBorders>
              <w:right w:val="nil"/>
            </w:tcBorders>
          </w:tcPr>
          <w:p>
            <w:pPr>
              <w:pStyle w:val="TableParagraph"/>
              <w:spacing w:before="67"/>
              <w:ind w:right="561"/>
              <w:jc w:val="right"/>
              <w:rPr>
                <w:rFonts w:ascii="Times New Roman"/>
                <w:sz w:val="21"/>
              </w:rPr>
            </w:pPr>
            <w:r>
              <w:rPr>
                <w:rFonts w:ascii="Times New Roman"/>
                <w:sz w:val="21"/>
              </w:rPr>
              <w:t>1.8</w:t>
            </w:r>
          </w:p>
        </w:tc>
      </w:tr>
      <w:tr>
        <w:trPr>
          <w:trHeight w:val="343" w:hRule="exact"/>
        </w:trPr>
        <w:tc>
          <w:tcPr>
            <w:tcW w:w="2765" w:type="dxa"/>
            <w:tcBorders>
              <w:left w:val="nil"/>
            </w:tcBorders>
          </w:tcPr>
          <w:p>
            <w:pPr>
              <w:pStyle w:val="TableParagraph"/>
              <w:spacing w:before="39"/>
              <w:ind w:left="1047" w:right="1043"/>
              <w:rPr>
                <w:sz w:val="21"/>
              </w:rPr>
            </w:pPr>
            <w:r>
              <w:rPr>
                <w:sz w:val="21"/>
              </w:rPr>
              <w:t>石油类</w:t>
            </w:r>
          </w:p>
        </w:tc>
        <w:tc>
          <w:tcPr>
            <w:tcW w:w="2172" w:type="dxa"/>
            <w:vMerge/>
          </w:tcPr>
          <w:p>
            <w:pPr/>
          </w:p>
        </w:tc>
        <w:tc>
          <w:tcPr>
            <w:tcW w:w="1745" w:type="dxa"/>
          </w:tcPr>
          <w:p>
            <w:pPr>
              <w:pStyle w:val="TableParagraph"/>
              <w:spacing w:before="84"/>
              <w:ind w:left="200" w:right="198"/>
              <w:rPr>
                <w:rFonts w:ascii="Times New Roman"/>
                <w:sz w:val="21"/>
              </w:rPr>
            </w:pPr>
            <w:r>
              <w:rPr>
                <w:rFonts w:ascii="Times New Roman"/>
                <w:sz w:val="21"/>
              </w:rPr>
              <w:t>20</w:t>
            </w:r>
          </w:p>
        </w:tc>
        <w:tc>
          <w:tcPr>
            <w:tcW w:w="1390" w:type="dxa"/>
            <w:tcBorders>
              <w:right w:val="nil"/>
            </w:tcBorders>
          </w:tcPr>
          <w:p>
            <w:pPr>
              <w:pStyle w:val="TableParagraph"/>
              <w:spacing w:before="84"/>
              <w:ind w:right="509"/>
              <w:jc w:val="right"/>
              <w:rPr>
                <w:rFonts w:ascii="Times New Roman"/>
                <w:sz w:val="21"/>
              </w:rPr>
            </w:pPr>
            <w:r>
              <w:rPr>
                <w:rFonts w:ascii="Times New Roman"/>
                <w:sz w:val="21"/>
              </w:rPr>
              <w:t>0.14</w:t>
            </w:r>
          </w:p>
        </w:tc>
      </w:tr>
    </w:tbl>
    <w:p>
      <w:pPr>
        <w:pStyle w:val="BodyText"/>
        <w:spacing w:line="306" w:lineRule="exact"/>
        <w:ind w:left="718"/>
      </w:pPr>
      <w:r>
        <w:rPr>
          <w:spacing w:val="-3"/>
        </w:rPr>
        <w:t>采取了在施工出入口处设置 </w:t>
      </w:r>
      <w:r>
        <w:rPr>
          <w:rFonts w:ascii="Times New Roman" w:hAnsi="Times New Roman" w:eastAsia="Times New Roman"/>
        </w:rPr>
        <w:t>1</w:t>
      </w:r>
      <w:r>
        <w:rPr>
          <w:rFonts w:ascii="Times New Roman" w:hAnsi="Times New Roman" w:eastAsia="Times New Roman"/>
          <w:spacing w:val="21"/>
        </w:rPr>
        <w:t> </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rFonts w:ascii="Times New Roman" w:hAnsi="Times New Roman" w:eastAsia="Times New Roman"/>
          <w:spacing w:val="21"/>
        </w:rPr>
        <w:t> </w:t>
      </w:r>
      <w:r>
        <w:rPr>
          <w:spacing w:val="-1"/>
        </w:rPr>
        <w:t>个临时沉淀池</w:t>
      </w:r>
    </w:p>
    <w:p>
      <w:pPr>
        <w:pStyle w:val="BodyText"/>
        <w:spacing w:before="133"/>
        <w:ind w:left="238"/>
      </w:pP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
        </w:rPr>
        <w:t>，施工废水经隔油、沉淀后用于工地降尘，不外排。</w:t>
      </w:r>
    </w:p>
    <w:p>
      <w:pPr>
        <w:pStyle w:val="BodyText"/>
        <w:spacing w:before="136"/>
        <w:ind w:left="718"/>
      </w:pPr>
      <w:r>
        <w:rPr/>
        <w:t>（</w:t>
      </w:r>
      <w:r>
        <w:rPr>
          <w:rFonts w:ascii="Times New Roman" w:eastAsia="Times New Roman"/>
        </w:rPr>
        <w:t>3</w:t>
      </w:r>
      <w:r>
        <w:rPr/>
        <w:t>）生活污水 </w:t>
      </w:r>
    </w:p>
    <w:p>
      <w:pPr>
        <w:pStyle w:val="BodyText"/>
        <w:spacing w:line="357" w:lineRule="auto" w:before="133"/>
        <w:ind w:left="238" w:right="235" w:firstLine="479"/>
        <w:jc w:val="both"/>
      </w:pPr>
      <w:r>
        <w:rPr>
          <w:spacing w:val="-6"/>
        </w:rPr>
        <w:t>本项目不设置施工营地，施工人员生活、住宿均依托于周边住房，其生活</w:t>
      </w:r>
      <w:r>
        <w:rPr>
          <w:spacing w:val="-10"/>
        </w:rPr>
        <w:t>污水处理设施也依托于周边住房现有的污水处理设施。同时，本项目施工期不设食堂，施工人员就餐通过配餐解决。</w:t>
      </w:r>
    </w:p>
    <w:p>
      <w:pPr>
        <w:pStyle w:val="Heading3"/>
        <w:spacing w:before="36"/>
        <w:ind w:left="720"/>
      </w:pPr>
      <w:r>
        <w:rPr>
          <w:rFonts w:ascii="Times New Roman" w:eastAsia="Times New Roman"/>
          <w:w w:val="95"/>
        </w:rPr>
        <w:t>4</w:t>
      </w:r>
      <w:r>
        <w:rPr>
          <w:w w:val="95"/>
        </w:rPr>
        <w:t>、固体废物</w:t>
      </w:r>
    </w:p>
    <w:p>
      <w:pPr>
        <w:pStyle w:val="BodyText"/>
        <w:spacing w:line="355" w:lineRule="auto" w:before="136"/>
        <w:ind w:left="238" w:right="235" w:firstLine="479"/>
        <w:jc w:val="both"/>
      </w:pPr>
      <w:r>
        <w:rPr/>
        <w:t>施工期固体废弃物主要包括两部分，一部分来自路基开挖时产生的土石方；另一部分来自于施工人员产生的生活垃圾。</w:t>
      </w:r>
    </w:p>
    <w:p>
      <w:pPr>
        <w:pStyle w:val="BodyText"/>
        <w:spacing w:before="39"/>
        <w:ind w:left="718"/>
      </w:pPr>
      <w:r>
        <w:rPr/>
        <w:t>（</w:t>
      </w:r>
      <w:r>
        <w:rPr>
          <w:rFonts w:ascii="Times New Roman" w:eastAsia="Times New Roman"/>
        </w:rPr>
        <w:t>1</w:t>
      </w:r>
      <w:r>
        <w:rPr/>
        <w:t>）土石方</w:t>
      </w:r>
    </w:p>
    <w:p>
      <w:pPr>
        <w:pStyle w:val="BodyText"/>
        <w:spacing w:line="345" w:lineRule="auto" w:before="133"/>
        <w:ind w:left="238" w:right="231" w:firstLine="479"/>
        <w:jc w:val="both"/>
      </w:pPr>
      <w:r>
        <w:rPr>
          <w:spacing w:val="-11"/>
        </w:rPr>
        <w:t>本项目挖方 </w:t>
      </w:r>
      <w:r>
        <w:rPr>
          <w:rFonts w:ascii="Times New Roman" w:eastAsia="Times New Roman"/>
        </w:rPr>
        <w:t>1062m</w:t>
      </w:r>
      <w:r>
        <w:rPr>
          <w:rFonts w:ascii="Times New Roman" w:eastAsia="Times New Roman"/>
          <w:position w:val="11"/>
          <w:sz w:val="16"/>
        </w:rPr>
        <w:t>3</w:t>
      </w:r>
      <w:r>
        <w:rPr>
          <w:spacing w:val="-10"/>
        </w:rPr>
        <w:t>，无填方，弃方 </w:t>
      </w:r>
      <w:r>
        <w:rPr>
          <w:rFonts w:ascii="Times New Roman" w:eastAsia="Times New Roman"/>
        </w:rPr>
        <w:t>1062m</w:t>
      </w:r>
      <w:r>
        <w:rPr>
          <w:rFonts w:ascii="Times New Roman" w:eastAsia="Times New Roman"/>
          <w:position w:val="11"/>
          <w:sz w:val="16"/>
        </w:rPr>
        <w:t>3</w:t>
      </w:r>
      <w:r>
        <w:rPr>
          <w:spacing w:val="-1"/>
        </w:rPr>
        <w:t>，弃方运至指定堆场堆放。施</w:t>
      </w:r>
      <w:r>
        <w:rPr>
          <w:spacing w:val="-5"/>
        </w:rPr>
        <w:t>工期产生的土方不能及时回填的堆放在施工现场区域范围内，采用毡布或防尘</w:t>
      </w:r>
      <w:r>
        <w:rPr>
          <w:spacing w:val="-1"/>
        </w:rPr>
        <w:t>布覆盖。</w:t>
      </w:r>
    </w:p>
    <w:p>
      <w:pPr>
        <w:pStyle w:val="Heading3"/>
        <w:spacing w:line="357" w:lineRule="auto" w:before="48"/>
        <w:ind w:left="238" w:right="234" w:firstLine="479"/>
        <w:jc w:val="both"/>
      </w:pPr>
      <w:r>
        <w:rPr>
          <w:b w:val="0"/>
          <w:spacing w:val="-10"/>
        </w:rPr>
        <w:t>同时，为避免弃土运输过程中对周围环境造成影响，</w:t>
      </w:r>
      <w:r>
        <w:rPr/>
        <w:t>选址了对周边环境影</w:t>
      </w:r>
      <w:r>
        <w:rPr>
          <w:w w:val="95"/>
        </w:rPr>
        <w:t>响较小的运输路线，且在运输过程中运输车辆必须使用篷布遮盖，在运输至  靠近敏感点的道路时，应加强对司机人员的管理，小心驾驶，以免发生事故  导致车辆翻倒而对环境造成污染。</w:t>
      </w:r>
    </w:p>
    <w:p>
      <w:pPr>
        <w:pStyle w:val="BodyText"/>
        <w:spacing w:before="36"/>
        <w:ind w:left="732"/>
      </w:pPr>
      <w:r>
        <w:rPr/>
        <w:t>（</w:t>
      </w:r>
      <w:r>
        <w:rPr>
          <w:rFonts w:ascii="Times New Roman" w:eastAsia="Times New Roman"/>
        </w:rPr>
        <w:t>2</w:t>
      </w:r>
      <w:r>
        <w:rPr/>
        <w:t>）生活垃圾</w:t>
      </w:r>
    </w:p>
    <w:p>
      <w:pPr>
        <w:pStyle w:val="BodyText"/>
        <w:spacing w:line="345" w:lineRule="auto" w:before="132"/>
        <w:ind w:left="238" w:right="235" w:firstLine="479"/>
        <w:jc w:val="both"/>
      </w:pPr>
      <w:r>
        <w:rPr/>
        <w:t>施工现场不设施工营地，生活垃圾主要产生在施工人员租用的周边住房内，项目施工期高峰时施工人员约 </w:t>
      </w:r>
      <w:r>
        <w:rPr>
          <w:rFonts w:ascii="Times New Roman" w:hAnsi="Times New Roman" w:eastAsia="Times New Roman"/>
        </w:rPr>
        <w:t>20 </w:t>
      </w:r>
      <w:r>
        <w:rPr/>
        <w:t>人，生活垃圾按 </w:t>
      </w:r>
      <w:r>
        <w:rPr>
          <w:rFonts w:ascii="Times New Roman" w:hAnsi="Times New Roman" w:eastAsia="Times New Roman"/>
        </w:rPr>
        <w:t>0.5kg/</w:t>
      </w:r>
      <w:r>
        <w:rPr/>
        <w:t>人</w:t>
      </w:r>
      <w:r>
        <w:rPr>
          <w:rFonts w:ascii="Times New Roman" w:hAnsi="Times New Roman" w:eastAsia="Times New Roman"/>
        </w:rPr>
        <w:t>·d </w:t>
      </w:r>
      <w:r>
        <w:rPr/>
        <w:t>计，生活垃圾产生量约 </w:t>
      </w:r>
      <w:r>
        <w:rPr>
          <w:rFonts w:ascii="Times New Roman" w:hAnsi="Times New Roman" w:eastAsia="Times New Roman"/>
        </w:rPr>
        <w:t>0.01t/d</w:t>
      </w:r>
      <w:r>
        <w:rPr/>
        <w:t>，纳入城市生活垃圾清运系统。</w:t>
      </w:r>
    </w:p>
    <w:p>
      <w:pPr>
        <w:pStyle w:val="Heading3"/>
        <w:spacing w:before="18"/>
        <w:ind w:left="720"/>
      </w:pPr>
      <w:r>
        <w:rPr>
          <w:rFonts w:ascii="Times New Roman" w:eastAsia="Times New Roman"/>
          <w:w w:val="95"/>
        </w:rPr>
        <w:t>5</w:t>
      </w:r>
      <w:r>
        <w:rPr>
          <w:w w:val="95"/>
        </w:rPr>
        <w:t>、社会环境的影响</w:t>
      </w:r>
    </w:p>
    <w:p>
      <w:pPr>
        <w:pStyle w:val="BodyText"/>
        <w:spacing w:line="357" w:lineRule="auto" w:before="133"/>
        <w:ind w:left="238" w:right="235" w:firstLine="479"/>
        <w:jc w:val="both"/>
      </w:pPr>
      <w:r>
        <w:rPr>
          <w:spacing w:val="-10"/>
        </w:rPr>
        <w:t>项目不涉及拆迁，因此，本项目施工期间对社会环境的影响主要是运输车</w:t>
      </w:r>
      <w:r>
        <w:rPr>
          <w:spacing w:val="-15"/>
        </w:rPr>
        <w:t>辆的增加使道路上的车流量增大。为减缓本项目施工期间对周边社会环境的影</w:t>
      </w:r>
    </w:p>
    <w:p>
      <w:pPr>
        <w:spacing w:after="0" w:line="357" w:lineRule="auto"/>
        <w:jc w:val="both"/>
        <w:sectPr>
          <w:pgSz w:w="11910" w:h="16850"/>
          <w:pgMar w:header="0" w:footer="1141" w:top="1400" w:bottom="1340" w:left="1680" w:right="1680"/>
        </w:sectPr>
      </w:pPr>
    </w:p>
    <w:p>
      <w:pPr>
        <w:pStyle w:val="BodyText"/>
        <w:spacing w:before="13"/>
        <w:ind w:left="238"/>
      </w:pPr>
      <w:r>
        <w:rPr/>
        <w:pict>
          <v:group style="position:absolute;margin-left:90.128998pt;margin-top:71.624977pt;width:415.2pt;height:698.95pt;mso-position-horizontal-relative:page;mso-position-vertical-relative:page;z-index:-19787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t>响，建设单位采取了以下措施：</w:t>
      </w:r>
    </w:p>
    <w:p>
      <w:pPr>
        <w:spacing w:line="336" w:lineRule="auto" w:before="153"/>
        <w:ind w:left="238" w:right="237" w:firstLine="479"/>
        <w:jc w:val="both"/>
        <w:rPr>
          <w:sz w:val="24"/>
        </w:rPr>
      </w:pPr>
      <w:r>
        <w:rPr>
          <w:sz w:val="24"/>
        </w:rPr>
        <w:t>（</w:t>
      </w:r>
      <w:r>
        <w:rPr>
          <w:rFonts w:ascii="Times New Roman" w:eastAsia="Times New Roman"/>
          <w:sz w:val="24"/>
        </w:rPr>
        <w:t>1</w:t>
      </w:r>
      <w:r>
        <w:rPr>
          <w:sz w:val="24"/>
        </w:rPr>
        <w:t>）施工前期充分做好各种准备工作，结合项目情况，项目</w:t>
      </w:r>
      <w:r>
        <w:rPr>
          <w:b/>
          <w:sz w:val="24"/>
        </w:rPr>
        <w:t>采用全封闭施工的方式</w:t>
      </w:r>
      <w:r>
        <w:rPr>
          <w:sz w:val="24"/>
        </w:rPr>
        <w:t>。</w:t>
      </w:r>
    </w:p>
    <w:p>
      <w:pPr>
        <w:pStyle w:val="BodyText"/>
        <w:spacing w:line="336" w:lineRule="auto" w:before="57"/>
        <w:ind w:left="238" w:right="240" w:firstLine="479"/>
        <w:jc w:val="both"/>
      </w:pPr>
      <w:r>
        <w:rPr/>
        <w:t>（</w:t>
      </w:r>
      <w:r>
        <w:rPr>
          <w:rFonts w:ascii="Times New Roman" w:eastAsia="Times New Roman"/>
        </w:rPr>
        <w:t>2</w:t>
      </w:r>
      <w:r>
        <w:rPr/>
        <w:t>）原辅材料、施工废弃土石方的运输避开交通高峰期，以减少交通堵塞，降低对周边环境的影响。</w:t>
      </w:r>
    </w:p>
    <w:p>
      <w:pPr>
        <w:pStyle w:val="Heading3"/>
        <w:spacing w:line="357" w:lineRule="auto" w:before="57"/>
        <w:ind w:left="238" w:right="228" w:firstLine="482"/>
        <w:jc w:val="both"/>
      </w:pPr>
      <w:r>
        <w:rPr>
          <w:spacing w:val="4"/>
          <w:w w:val="95"/>
        </w:rPr>
        <w:t>项目施工期对环境存在一定的影响，但是这些影响具有时效性，施工期  </w:t>
      </w:r>
      <w:r>
        <w:rPr/>
        <w:t>间通过采取有效的污染防治措施后，废水与固废均得到妥善处置，施工扬尘等废气与施工噪声等采取相应的措施后，各污染物达标排放。施工期间对地</w:t>
      </w:r>
      <w:r>
        <w:rPr>
          <w:w w:val="95"/>
        </w:rPr>
        <w:t>表水、空气及声学环境影响较小。</w:t>
      </w:r>
    </w:p>
    <w:p>
      <w:pPr>
        <w:spacing w:before="33"/>
        <w:ind w:left="710" w:right="0" w:firstLine="0"/>
        <w:jc w:val="left"/>
        <w:rPr>
          <w:b/>
          <w:sz w:val="24"/>
        </w:rPr>
      </w:pPr>
      <w:r>
        <w:rPr>
          <w:b/>
          <w:w w:val="95"/>
          <w:sz w:val="24"/>
        </w:rPr>
        <w:t>二、营运期</w:t>
      </w:r>
    </w:p>
    <w:p>
      <w:pPr>
        <w:spacing w:before="153"/>
        <w:ind w:left="720" w:right="0" w:firstLine="0"/>
        <w:jc w:val="left"/>
        <w:rPr>
          <w:b/>
          <w:sz w:val="24"/>
        </w:rPr>
      </w:pPr>
      <w:r>
        <w:rPr>
          <w:rFonts w:ascii="Times New Roman" w:eastAsia="Times New Roman"/>
          <w:b/>
          <w:w w:val="95"/>
          <w:sz w:val="24"/>
        </w:rPr>
        <w:t>1</w:t>
      </w:r>
      <w:r>
        <w:rPr>
          <w:b/>
          <w:w w:val="95"/>
          <w:sz w:val="24"/>
        </w:rPr>
        <w:t>、废水</w:t>
      </w:r>
    </w:p>
    <w:p>
      <w:pPr>
        <w:pStyle w:val="BodyText"/>
        <w:spacing w:line="357" w:lineRule="auto" w:before="133"/>
        <w:ind w:left="238" w:right="235" w:firstLine="479"/>
        <w:jc w:val="both"/>
      </w:pPr>
      <w:r>
        <w:rPr>
          <w:spacing w:val="-4"/>
        </w:rPr>
        <w:t>项目营运期废水主要为降雨冲刷路面产生的路面径流，影响因素包括降雨强度、降雨历时，降雨频率、车流量、路面宽度和产污路段长度等。</w:t>
      </w:r>
    </w:p>
    <w:p>
      <w:pPr>
        <w:pStyle w:val="BodyText"/>
        <w:spacing w:line="350" w:lineRule="auto" w:before="34"/>
        <w:ind w:left="238" w:right="234" w:firstLine="479"/>
        <w:jc w:val="both"/>
      </w:pPr>
      <w:r>
        <w:rPr>
          <w:spacing w:val="-4"/>
        </w:rPr>
        <w:t>根据国内对南方地区路面径流污染情况实验有关资料，在车流量和降雨量</w:t>
      </w:r>
      <w:r>
        <w:rPr>
          <w:spacing w:val="-9"/>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pStyle w:val="BodyText"/>
        <w:tabs>
          <w:tab w:pos="1100" w:val="left" w:leader="none"/>
          <w:tab w:pos="4235" w:val="left" w:leader="none"/>
        </w:tabs>
        <w:spacing w:line="345" w:lineRule="auto" w:before="11"/>
        <w:ind w:left="238" w:right="117" w:hanging="117"/>
        <w:jc w:val="center"/>
        <w:rPr>
          <w:rFonts w:ascii="Times New Roman" w:eastAsia="Times New Roman"/>
          <w:b/>
        </w:rPr>
      </w:pPr>
      <w:r>
        <w:rPr/>
        <w:drawing>
          <wp:anchor distT="0" distB="0" distL="0" distR="0" allowOverlap="1" layoutInCell="1" locked="0" behindDoc="0" simplePos="0" relativeHeight="2536">
            <wp:simplePos x="0" y="0"/>
            <wp:positionH relativeFrom="page">
              <wp:posOffset>1219200</wp:posOffset>
            </wp:positionH>
            <wp:positionV relativeFrom="paragraph">
              <wp:posOffset>1514292</wp:posOffset>
            </wp:positionV>
            <wp:extent cx="5120639" cy="1386839"/>
            <wp:effectExtent l="0" t="0" r="0" b="0"/>
            <wp:wrapTopAndBottom/>
            <wp:docPr id="3" name="image3.jpeg" descr=""/>
            <wp:cNvGraphicFramePr>
              <a:graphicFrameLocks noChangeAspect="1"/>
            </wp:cNvGraphicFramePr>
            <a:graphic>
              <a:graphicData uri="http://schemas.openxmlformats.org/drawingml/2006/picture">
                <pic:pic>
                  <pic:nvPicPr>
                    <pic:cNvPr id="4" name="image3.jpeg"/>
                    <pic:cNvPicPr/>
                  </pic:nvPicPr>
                  <pic:blipFill>
                    <a:blip r:embed="rId9" cstate="print"/>
                    <a:stretch>
                      <a:fillRect/>
                    </a:stretch>
                  </pic:blipFill>
                  <pic:spPr>
                    <a:xfrm>
                      <a:off x="0" y="0"/>
                      <a:ext cx="5120639" cy="1386839"/>
                    </a:xfrm>
                    <a:prstGeom prst="rect">
                      <a:avLst/>
                    </a:prstGeom>
                  </pic:spPr>
                </pic:pic>
              </a:graphicData>
            </a:graphic>
          </wp:anchor>
        </w:drawing>
      </w:r>
      <w:r>
        <w:rPr>
          <w:rFonts w:ascii="Times New Roman" w:eastAsia="Times New Roman"/>
        </w:rPr>
        <w:t>SS</w:t>
      </w:r>
      <w:r>
        <w:rPr>
          <w:rFonts w:ascii="Times New Roman" w:eastAsia="Times New Roman"/>
          <w:spacing w:val="58"/>
        </w:rPr>
        <w:t> </w:t>
      </w:r>
      <w:r>
        <w:rPr/>
        <w:t>和石油类的含量</w:t>
      </w:r>
      <w:r>
        <w:rPr>
          <w:spacing w:val="-3"/>
        </w:rPr>
        <w:t>可</w:t>
      </w:r>
      <w:r>
        <w:rPr/>
        <w:t>达</w:t>
      </w:r>
      <w:r>
        <w:rPr>
          <w:spacing w:val="-49"/>
        </w:rPr>
        <w:t> </w:t>
      </w:r>
      <w:r>
        <w:rPr>
          <w:rFonts w:ascii="Times New Roman" w:eastAsia="Times New Roman"/>
        </w:rPr>
        <w:t>158.5~231.4mg/L</w:t>
      </w:r>
      <w:r>
        <w:rPr/>
        <w:t>、</w:t>
      </w:r>
      <w:r>
        <w:rPr>
          <w:rFonts w:ascii="Times New Roman" w:eastAsia="Times New Roman"/>
        </w:rPr>
        <w:t>19.74~22.30mg/L</w:t>
      </w:r>
      <w:r>
        <w:rPr/>
        <w:t>；</w:t>
      </w:r>
      <w:r>
        <w:rPr>
          <w:rFonts w:ascii="Times New Roman" w:eastAsia="Times New Roman"/>
        </w:rPr>
        <w:t>30</w:t>
      </w:r>
      <w:r>
        <w:rPr>
          <w:rFonts w:ascii="Times New Roman" w:eastAsia="Times New Roman"/>
          <w:spacing w:val="11"/>
        </w:rPr>
        <w:t> </w:t>
      </w:r>
      <w:r>
        <w:rPr/>
        <w:t>分钟后，其 浓度随降雨历时的延长下降较快</w:t>
      </w:r>
      <w:r>
        <w:rPr>
          <w:spacing w:val="-92"/>
        </w:rPr>
        <w:t>。</w:t>
      </w:r>
      <w:r>
        <w:rPr/>
        <w:t>雨水径流中的铅的浓度及生化需氧随降雨历 时的延长下降速度较前者慢</w:t>
      </w:r>
      <w:r>
        <w:rPr>
          <w:spacing w:val="-10"/>
        </w:rPr>
        <w:t>，</w:t>
      </w:r>
      <w:r>
        <w:rPr>
          <w:rFonts w:ascii="Times New Roman" w:eastAsia="Times New Roman"/>
          <w:spacing w:val="-10"/>
        </w:rPr>
        <w:t>pH</w:t>
      </w:r>
      <w:r>
        <w:rPr>
          <w:rFonts w:ascii="Times New Roman" w:eastAsia="Times New Roman"/>
        </w:rPr>
        <w:t> </w:t>
      </w:r>
      <w:r>
        <w:rPr/>
        <w:t>值相对较稳定</w:t>
      </w:r>
      <w:r>
        <w:rPr>
          <w:spacing w:val="-29"/>
        </w:rPr>
        <w:t>。</w:t>
      </w:r>
      <w:r>
        <w:rPr/>
        <w:t>降雨历时</w:t>
      </w:r>
      <w:r>
        <w:rPr>
          <w:spacing w:val="-59"/>
        </w:rPr>
        <w:t> </w:t>
      </w:r>
      <w:r>
        <w:rPr>
          <w:rFonts w:ascii="Times New Roman" w:eastAsia="Times New Roman"/>
        </w:rPr>
        <w:t>40</w:t>
      </w:r>
      <w:r>
        <w:rPr>
          <w:rFonts w:ascii="Times New Roman" w:eastAsia="Times New Roman"/>
          <w:spacing w:val="1"/>
        </w:rPr>
        <w:t> </w:t>
      </w:r>
      <w:r>
        <w:rPr/>
        <w:t>分钟后</w:t>
      </w:r>
      <w:r>
        <w:rPr>
          <w:spacing w:val="-29"/>
        </w:rPr>
        <w:t>，</w:t>
      </w:r>
      <w:r>
        <w:rPr/>
        <w:t>路面基 本被冲洗干净</w:t>
      </w:r>
      <w:r>
        <w:rPr>
          <w:spacing w:val="-106"/>
        </w:rPr>
        <w:t>，</w:t>
      </w:r>
      <w:r>
        <w:rPr/>
        <w:t>污染物含量较低</w:t>
      </w:r>
      <w:r>
        <w:rPr>
          <w:spacing w:val="-106"/>
        </w:rPr>
        <w:t>。</w:t>
      </w:r>
      <w:r>
        <w:rPr/>
        <w:t>路面径流中污染物随时间变化的情况见下表。</w:t>
      </w:r>
      <w:r>
        <w:rPr>
          <w:b/>
        </w:rPr>
        <w:t>表</w:t>
      </w:r>
      <w:r>
        <w:rPr>
          <w:b/>
          <w:spacing w:val="-60"/>
        </w:rPr>
        <w:t> </w:t>
      </w:r>
      <w:r>
        <w:rPr>
          <w:rFonts w:ascii="Times New Roman" w:eastAsia="Times New Roman"/>
          <w:b/>
        </w:rPr>
        <w:t>5-1</w:t>
        <w:tab/>
      </w:r>
      <w:r>
        <w:rPr>
          <w:b/>
        </w:rPr>
        <w:t>路面径流中污染物浓度值表</w:t>
        <w:tab/>
      </w:r>
      <w:r>
        <w:rPr>
          <w:b/>
          <w:spacing w:val="-1"/>
        </w:rPr>
        <w:t>单位：</w:t>
      </w:r>
      <w:r>
        <w:rPr>
          <w:rFonts w:ascii="Times New Roman" w:eastAsia="Times New Roman"/>
          <w:b/>
          <w:spacing w:val="-1"/>
        </w:rPr>
        <w:t>mg/L</w:t>
      </w:r>
    </w:p>
    <w:p>
      <w:pPr>
        <w:pStyle w:val="Heading3"/>
        <w:spacing w:before="70"/>
        <w:ind w:left="720"/>
      </w:pPr>
      <w:r>
        <w:rPr>
          <w:rFonts w:ascii="Times New Roman" w:eastAsia="Times New Roman"/>
          <w:w w:val="95"/>
        </w:rPr>
        <w:t>2</w:t>
      </w:r>
      <w:r>
        <w:rPr>
          <w:w w:val="95"/>
        </w:rPr>
        <w:t>、废气</w:t>
      </w:r>
    </w:p>
    <w:p>
      <w:pPr>
        <w:pStyle w:val="BodyText"/>
        <w:spacing w:line="355" w:lineRule="auto" w:before="136"/>
        <w:ind w:left="238" w:right="235" w:firstLine="479"/>
        <w:jc w:val="both"/>
      </w:pPr>
      <w:r>
        <w:rPr>
          <w:spacing w:val="-4"/>
        </w:rPr>
        <w:t>营运期主要的大气污染物为道路清扫时产生的扬尘、车辆行驶产生的交通扬尘以及汽车尾气。</w:t>
      </w:r>
    </w:p>
    <w:p>
      <w:pPr>
        <w:spacing w:after="0" w:line="355" w:lineRule="auto"/>
        <w:jc w:val="both"/>
        <w:sectPr>
          <w:pgSz w:w="11910" w:h="16850"/>
          <w:pgMar w:header="0" w:footer="1141" w:top="1400" w:bottom="1400" w:left="1680" w:right="1680"/>
        </w:sectPr>
      </w:pPr>
    </w:p>
    <w:p>
      <w:pPr>
        <w:pStyle w:val="BodyText"/>
        <w:ind w:left="122"/>
        <w:rPr>
          <w:sz w:val="20"/>
        </w:rPr>
      </w:pPr>
      <w:r>
        <w:rPr>
          <w:sz w:val="20"/>
        </w:rPr>
        <w:pict>
          <v:group style="width:415.2pt;height:698.2pt;mso-position-horizontal-relative:char;mso-position-vertical-relative:line" coordorigin="0,0" coordsize="8304,13964">
            <v:shape style="position:absolute;left:2903;top:4217;width:2912;height:739" type="#_x0000_t75" stroked="false">
              <v:imagedata r:id="rId10" o:title=""/>
            </v:shape>
            <v:shape style="position:absolute;left:8;top:8;width:8289;height:13949" type="#_x0000_t202" filled="false" stroked="true" strokeweight=".71997pt" strokecolor="#000000">
              <v:textbox inset="0,0,0,0">
                <w:txbxContent>
                  <w:p>
                    <w:pPr>
                      <w:spacing w:line="274" w:lineRule="exact" w:before="0"/>
                      <w:ind w:left="580" w:right="0" w:firstLine="0"/>
                      <w:jc w:val="left"/>
                      <w:rPr>
                        <w:sz w:val="24"/>
                      </w:rPr>
                    </w:pPr>
                    <w:r>
                      <w:rPr>
                        <w:sz w:val="24"/>
                      </w:rPr>
                      <w:t>道路清扫扬尘：道路采用自动扫路机，自动扫路机运行时，用机械扫把将</w:t>
                    </w:r>
                  </w:p>
                  <w:p>
                    <w:pPr>
                      <w:spacing w:line="355" w:lineRule="auto" w:before="154"/>
                      <w:ind w:left="100" w:right="9" w:firstLine="0"/>
                      <w:jc w:val="left"/>
                      <w:rPr>
                        <w:sz w:val="24"/>
                      </w:rPr>
                    </w:pPr>
                    <w:r>
                      <w:rPr>
                        <w:sz w:val="24"/>
                      </w:rPr>
                      <w:t>路面杂物及灰尘定向扬起后，采用自动集气罩收集，相当于一个袋式除尘器， 因此，道路清扫过程扬尘产生量很少。</w:t>
                    </w:r>
                  </w:p>
                  <w:p>
                    <w:pPr>
                      <w:spacing w:line="355" w:lineRule="auto" w:before="39"/>
                      <w:ind w:left="100" w:right="73" w:firstLine="479"/>
                      <w:jc w:val="left"/>
                      <w:rPr>
                        <w:sz w:val="24"/>
                      </w:rPr>
                    </w:pPr>
                    <w:r>
                      <w:rPr>
                        <w:spacing w:val="-8"/>
                        <w:sz w:val="24"/>
                      </w:rPr>
                      <w:t>交通扬尘：项目路面为沥青混凝土路面且每天有专人清扫，因此，交通扬尘产生量较少。</w:t>
                    </w:r>
                  </w:p>
                  <w:p>
                    <w:pPr>
                      <w:spacing w:line="343" w:lineRule="auto" w:before="39"/>
                      <w:ind w:left="100" w:right="96" w:firstLine="479"/>
                      <w:jc w:val="both"/>
                      <w:rPr>
                        <w:sz w:val="24"/>
                      </w:rPr>
                    </w:pPr>
                    <w:r>
                      <w:rPr>
                        <w:spacing w:val="-16"/>
                        <w:sz w:val="24"/>
                      </w:rPr>
                      <w:t>汽车尾气：汽车尾气中主要污染源有碳氢化合物</w:t>
                    </w:r>
                    <w:r>
                      <w:rPr>
                        <w:spacing w:val="1"/>
                        <w:sz w:val="24"/>
                      </w:rPr>
                      <w:t>（</w:t>
                    </w:r>
                    <w:r>
                      <w:rPr>
                        <w:rFonts w:ascii="Times New Roman" w:eastAsia="Times New Roman"/>
                        <w:sz w:val="24"/>
                      </w:rPr>
                      <w:t>THC</w:t>
                    </w:r>
                    <w:r>
                      <w:rPr>
                        <w:spacing w:val="-120"/>
                        <w:sz w:val="24"/>
                      </w:rPr>
                      <w:t>）</w:t>
                    </w:r>
                    <w:r>
                      <w:rPr>
                        <w:spacing w:val="-44"/>
                        <w:sz w:val="24"/>
                      </w:rPr>
                      <w:t>、氮氧化物</w:t>
                    </w:r>
                    <w:r>
                      <w:rPr>
                        <w:sz w:val="24"/>
                      </w:rPr>
                      <w:t>（</w:t>
                    </w:r>
                    <w:r>
                      <w:rPr>
                        <w:rFonts w:ascii="Times New Roman" w:eastAsia="Times New Roman"/>
                        <w:spacing w:val="-3"/>
                        <w:w w:val="99"/>
                        <w:sz w:val="24"/>
                      </w:rPr>
                      <w:t>N</w:t>
                    </w:r>
                    <w:r>
                      <w:rPr>
                        <w:rFonts w:ascii="Times New Roman" w:eastAsia="Times New Roman"/>
                        <w:w w:val="99"/>
                        <w:sz w:val="24"/>
                      </w:rPr>
                      <w:t>O</w:t>
                    </w:r>
                    <w:r>
                      <w:rPr>
                        <w:rFonts w:ascii="Times New Roman" w:eastAsia="Times New Roman"/>
                        <w:spacing w:val="1"/>
                        <w:w w:val="99"/>
                        <w:sz w:val="24"/>
                      </w:rPr>
                      <w:t>x</w:t>
                    </w:r>
                    <w:r>
                      <w:rPr>
                        <w:spacing w:val="-120"/>
                        <w:sz w:val="24"/>
                      </w:rPr>
                      <w:t>）、</w:t>
                    </w:r>
                    <w:r>
                      <w:rPr>
                        <w:sz w:val="24"/>
                      </w:rPr>
                      <w:t>一氧化碳（</w:t>
                    </w:r>
                    <w:r>
                      <w:rPr>
                        <w:rFonts w:ascii="Times New Roman" w:eastAsia="Times New Roman"/>
                        <w:sz w:val="24"/>
                      </w:rPr>
                      <w:t>CO</w:t>
                    </w:r>
                    <w:r>
                      <w:rPr>
                        <w:sz w:val="24"/>
                      </w:rPr>
                      <w:t>）和颗粒物。这些污染物严重影响环境空气质量，并对人体健</w:t>
                    </w:r>
                    <w:r>
                      <w:rPr>
                        <w:spacing w:val="-9"/>
                        <w:sz w:val="24"/>
                      </w:rPr>
                      <w:t>康造成危害。营运期汽车尾气的排放量与车流量、车速、不同车型的耗油量及排放系数有一定的关系。汽车尾气的排放源强一般可以按下式公式计算：</w:t>
                    </w:r>
                  </w:p>
                  <w:p>
                    <w:pPr>
                      <w:spacing w:line="240" w:lineRule="auto" w:before="0"/>
                      <w:rPr>
                        <w:sz w:val="24"/>
                      </w:rPr>
                    </w:pPr>
                  </w:p>
                  <w:p>
                    <w:pPr>
                      <w:spacing w:line="240" w:lineRule="auto" w:before="0"/>
                      <w:rPr>
                        <w:sz w:val="24"/>
                      </w:rPr>
                    </w:pPr>
                  </w:p>
                  <w:p>
                    <w:pPr>
                      <w:spacing w:line="240" w:lineRule="auto" w:before="8"/>
                      <w:rPr>
                        <w:sz w:val="22"/>
                      </w:rPr>
                    </w:pPr>
                  </w:p>
                  <w:p>
                    <w:pPr>
                      <w:spacing w:before="0"/>
                      <w:ind w:left="580" w:right="0" w:firstLine="0"/>
                      <w:jc w:val="left"/>
                      <w:rPr>
                        <w:sz w:val="24"/>
                      </w:rPr>
                    </w:pPr>
                    <w:r>
                      <w:rPr>
                        <w:sz w:val="24"/>
                      </w:rPr>
                      <w:t>式中：</w:t>
                    </w:r>
                    <w:r>
                      <w:rPr>
                        <w:rFonts w:ascii="Times New Roman" w:hAnsi="Times New Roman" w:eastAsia="Times New Roman"/>
                        <w:spacing w:val="-1"/>
                        <w:w w:val="99"/>
                        <w:sz w:val="24"/>
                      </w:rPr>
                      <w:t>Q</w:t>
                    </w:r>
                    <w:r>
                      <w:rPr>
                        <w:rFonts w:ascii="Times New Roman" w:hAnsi="Times New Roman" w:eastAsia="Times New Roman"/>
                        <w:w w:val="99"/>
                        <w:sz w:val="24"/>
                      </w:rPr>
                      <w:t>j</w:t>
                    </w:r>
                    <w:r>
                      <w:rPr>
                        <w:spacing w:val="-4"/>
                        <w:sz w:val="24"/>
                      </w:rPr>
                      <w:t>：行驶汽车在一定车速下排放的 </w:t>
                    </w:r>
                    <w:r>
                      <w:rPr>
                        <w:rFonts w:ascii="Times New Roman" w:hAnsi="Times New Roman" w:eastAsia="Times New Roman"/>
                        <w:w w:val="99"/>
                        <w:sz w:val="24"/>
                      </w:rPr>
                      <w:t>J</w:t>
                    </w:r>
                    <w:r>
                      <w:rPr>
                        <w:rFonts w:ascii="Times New Roman" w:hAnsi="Times New Roman" w:eastAsia="Times New Roman"/>
                        <w:spacing w:val="2"/>
                        <w:sz w:val="24"/>
                      </w:rPr>
                      <w:t> </w:t>
                    </w:r>
                    <w:r>
                      <w:rPr>
                        <w:spacing w:val="-2"/>
                        <w:sz w:val="24"/>
                      </w:rPr>
                      <w:t>种污染物源强，</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1"/>
                        <w:sz w:val="24"/>
                      </w:rPr>
                      <w:t>/</w:t>
                    </w:r>
                    <w:r>
                      <w:rPr>
                        <w:sz w:val="24"/>
                      </w:rPr>
                      <w:t>（</w:t>
                    </w:r>
                    <w:r>
                      <w:rPr>
                        <w:rFonts w:ascii="Times New Roman" w:hAnsi="Times New Roman" w:eastAsia="Times New Roman"/>
                        <w:sz w:val="24"/>
                      </w:rPr>
                      <w:t>m</w:t>
                    </w:r>
                    <w:r>
                      <w:rPr>
                        <w:sz w:val="24"/>
                      </w:rPr>
                      <w:t>·</w:t>
                    </w:r>
                    <w:r>
                      <w:rPr>
                        <w:rFonts w:ascii="Times New Roman" w:hAnsi="Times New Roman" w:eastAsia="Times New Roman"/>
                        <w:w w:val="99"/>
                        <w:sz w:val="24"/>
                      </w:rPr>
                      <w:t>s</w:t>
                    </w:r>
                    <w:r>
                      <w:rPr>
                        <w:spacing w:val="-120"/>
                        <w:sz w:val="24"/>
                      </w:rPr>
                      <w:t>）；</w:t>
                    </w:r>
                  </w:p>
                  <w:p>
                    <w:pPr>
                      <w:spacing w:before="135"/>
                      <w:ind w:left="1300" w:right="0" w:firstLine="0"/>
                      <w:jc w:val="left"/>
                      <w:rPr>
                        <w:sz w:val="24"/>
                      </w:rPr>
                    </w:pPr>
                    <w:r>
                      <w:rPr>
                        <w:rFonts w:ascii="Times New Roman" w:eastAsia="Times New Roman"/>
                        <w:sz w:val="24"/>
                      </w:rPr>
                      <w:t>Ai</w:t>
                    </w:r>
                    <w:r>
                      <w:rPr>
                        <w:sz w:val="24"/>
                      </w:rPr>
                      <w:t>：</w:t>
                    </w:r>
                    <w:r>
                      <w:rPr>
                        <w:rFonts w:ascii="Times New Roman" w:eastAsia="Times New Roman"/>
                        <w:sz w:val="24"/>
                      </w:rPr>
                      <w:t>i </w:t>
                    </w:r>
                    <w:r>
                      <w:rPr>
                        <w:sz w:val="24"/>
                      </w:rPr>
                      <w:t>型车预测年的小时交通量，辆</w:t>
                    </w:r>
                    <w:r>
                      <w:rPr>
                        <w:rFonts w:ascii="Times New Roman" w:eastAsia="Times New Roman"/>
                        <w:sz w:val="24"/>
                      </w:rPr>
                      <w:t>/h</w:t>
                    </w:r>
                    <w:r>
                      <w:rPr>
                        <w:sz w:val="24"/>
                      </w:rPr>
                      <w:t>；</w:t>
                    </w:r>
                  </w:p>
                  <w:p>
                    <w:pPr>
                      <w:spacing w:before="133"/>
                      <w:ind w:left="1300" w:right="0" w:firstLine="0"/>
                      <w:jc w:val="left"/>
                      <w:rPr>
                        <w:sz w:val="24"/>
                      </w:rPr>
                    </w:pPr>
                    <w:r>
                      <w:rPr>
                        <w:rFonts w:ascii="Times New Roman" w:eastAsia="Times New Roman"/>
                        <w:sz w:val="24"/>
                      </w:rPr>
                      <w:t>B</w:t>
                    </w:r>
                    <w:r>
                      <w:rPr>
                        <w:sz w:val="24"/>
                      </w:rPr>
                      <w:t>：</w:t>
                    </w:r>
                    <w:r>
                      <w:rPr>
                        <w:rFonts w:ascii="Times New Roman" w:eastAsia="Times New Roman"/>
                        <w:sz w:val="24"/>
                      </w:rPr>
                      <w:t>NOx </w:t>
                    </w:r>
                    <w:r>
                      <w:rPr>
                        <w:sz w:val="24"/>
                      </w:rPr>
                      <w:t>排放量换算成 </w:t>
                    </w:r>
                    <w:r>
                      <w:rPr>
                        <w:rFonts w:ascii="Times New Roman" w:eastAsia="Times New Roman"/>
                        <w:sz w:val="24"/>
                      </w:rPr>
                      <w:t>NO</w:t>
                    </w:r>
                    <w:r>
                      <w:rPr>
                        <w:rFonts w:ascii="Times New Roman" w:eastAsia="Times New Roman"/>
                        <w:position w:val="-2"/>
                        <w:sz w:val="16"/>
                      </w:rPr>
                      <w:t>2 </w:t>
                    </w:r>
                    <w:r>
                      <w:rPr>
                        <w:sz w:val="24"/>
                      </w:rPr>
                      <w:t>排放量的校正系数；</w:t>
                    </w:r>
                  </w:p>
                  <w:p>
                    <w:pPr>
                      <w:spacing w:line="336" w:lineRule="auto" w:before="123"/>
                      <w:ind w:left="100" w:right="0" w:firstLine="1199"/>
                      <w:jc w:val="left"/>
                      <w:rPr>
                        <w:sz w:val="24"/>
                      </w:rPr>
                    </w:pPr>
                    <w:r>
                      <w:rPr>
                        <w:rFonts w:ascii="Times New Roman" w:hAnsi="Times New Roman" w:eastAsia="Times New Roman"/>
                        <w:spacing w:val="-8"/>
                        <w:sz w:val="24"/>
                      </w:rPr>
                      <w:t>Eij</w:t>
                    </w:r>
                    <w:r>
                      <w:rPr>
                        <w:spacing w:val="-11"/>
                        <w:sz w:val="24"/>
                      </w:rPr>
                      <w:t>：单车排放系数，即 </w:t>
                    </w:r>
                    <w:r>
                      <w:rPr>
                        <w:rFonts w:ascii="Times New Roman" w:hAnsi="Times New Roman" w:eastAsia="Times New Roman"/>
                        <w:sz w:val="24"/>
                      </w:rPr>
                      <w:t>i </w:t>
                    </w:r>
                    <w:r>
                      <w:rPr>
                        <w:spacing w:val="-4"/>
                        <w:sz w:val="24"/>
                      </w:rPr>
                      <w:t>种车型在一定车速下单车排放的 </w:t>
                    </w:r>
                    <w:r>
                      <w:rPr>
                        <w:rFonts w:ascii="Times New Roman" w:hAnsi="Times New Roman" w:eastAsia="Times New Roman"/>
                        <w:sz w:val="24"/>
                      </w:rPr>
                      <w:t>J </w:t>
                    </w:r>
                    <w:r>
                      <w:rPr>
                        <w:sz w:val="24"/>
                      </w:rPr>
                      <w:t>种污染</w:t>
                    </w:r>
                    <w:r>
                      <w:rPr>
                        <w:spacing w:val="-1"/>
                        <w:sz w:val="24"/>
                      </w:rPr>
                      <w:t>物量，</w:t>
                    </w:r>
                    <w:r>
                      <w:rPr>
                        <w:rFonts w:ascii="Times New Roman" w:hAnsi="Times New Roman" w:eastAsia="Times New Roman"/>
                        <w:spacing w:val="-1"/>
                        <w:sz w:val="24"/>
                      </w:rPr>
                      <w:t>mg/</w:t>
                    </w:r>
                    <w:r>
                      <w:rPr>
                        <w:sz w:val="24"/>
                      </w:rPr>
                      <w:t>辆·</w:t>
                    </w:r>
                    <w:r>
                      <w:rPr>
                        <w:rFonts w:ascii="Times New Roman" w:hAnsi="Times New Roman" w:eastAsia="Times New Roman"/>
                        <w:sz w:val="24"/>
                      </w:rPr>
                      <w:t>m</w:t>
                    </w:r>
                    <w:r>
                      <w:rPr>
                        <w:sz w:val="24"/>
                      </w:rPr>
                      <w:t>。</w:t>
                    </w:r>
                  </w:p>
                  <w:p>
                    <w:pPr>
                      <w:spacing w:before="29"/>
                      <w:ind w:left="1300" w:right="0" w:firstLine="0"/>
                      <w:jc w:val="left"/>
                      <w:rPr>
                        <w:sz w:val="24"/>
                      </w:rPr>
                    </w:pPr>
                    <w:r>
                      <w:rPr>
                        <w:sz w:val="24"/>
                      </w:rPr>
                      <w:t>本项目营运期车辆单车排放因子推荐值见下表：</w:t>
                    </w:r>
                  </w:p>
                  <w:p>
                    <w:pPr>
                      <w:tabs>
                        <w:tab w:pos="1461" w:val="left" w:leader="none"/>
                        <w:tab w:pos="4476" w:val="left" w:leader="none"/>
                      </w:tabs>
                      <w:spacing w:before="151"/>
                      <w:ind w:left="479" w:right="0" w:firstLine="0"/>
                      <w:jc w:val="center"/>
                      <w:rPr>
                        <w:b/>
                        <w:sz w:val="24"/>
                      </w:rPr>
                    </w:pPr>
                    <w:r>
                      <w:rPr>
                        <w:b/>
                        <w:sz w:val="24"/>
                      </w:rPr>
                      <w:t>表</w:t>
                    </w:r>
                    <w:r>
                      <w:rPr>
                        <w:b/>
                        <w:spacing w:val="-60"/>
                        <w:sz w:val="24"/>
                      </w:rPr>
                      <w:t> </w:t>
                    </w:r>
                    <w:r>
                      <w:rPr>
                        <w:rFonts w:ascii="Times New Roman" w:eastAsia="Times New Roman"/>
                        <w:b/>
                        <w:sz w:val="24"/>
                      </w:rPr>
                      <w:t>5-2</w:t>
                      <w:tab/>
                    </w:r>
                    <w:r>
                      <w:rPr>
                        <w:b/>
                        <w:sz w:val="24"/>
                      </w:rPr>
                      <w:t>车辆单车排放因子推荐值</w:t>
                      <w:tab/>
                    </w:r>
                    <w:r>
                      <w:rPr>
                        <w:b/>
                        <w:spacing w:val="-1"/>
                        <w:sz w:val="24"/>
                      </w:rPr>
                      <w:t>单位：</w:t>
                    </w:r>
                    <w:r>
                      <w:rPr>
                        <w:rFonts w:ascii="Times New Roman" w:eastAsia="Times New Roman"/>
                        <w:b/>
                        <w:spacing w:val="-1"/>
                        <w:sz w:val="24"/>
                      </w:rPr>
                      <w:t>g/km.</w:t>
                    </w:r>
                    <w:r>
                      <w:rPr>
                        <w:b/>
                        <w:sz w:val="24"/>
                      </w:rPr>
                      <w:t>辆</w:t>
                    </w:r>
                  </w:p>
                  <w:p>
                    <w:pPr>
                      <w:spacing w:line="240" w:lineRule="auto" w:before="4" w:after="1"/>
                      <w:rPr>
                        <w:sz w:val="13"/>
                      </w:rPr>
                    </w:pPr>
                  </w:p>
                  <w:p>
                    <w:pPr>
                      <w:spacing w:line="240" w:lineRule="auto"/>
                      <w:ind w:left="100" w:right="0" w:firstLine="0"/>
                      <w:rPr>
                        <w:sz w:val="20"/>
                      </w:rPr>
                    </w:pPr>
                    <w:r>
                      <w:rPr>
                        <w:sz w:val="20"/>
                      </w:rPr>
                      <w:drawing>
                        <wp:inline distT="0" distB="0" distL="0" distR="0">
                          <wp:extent cx="5098592" cy="1991677"/>
                          <wp:effectExtent l="0" t="0" r="0" b="0"/>
                          <wp:docPr id="5" name="image5.png" descr=""/>
                          <wp:cNvGraphicFramePr>
                            <a:graphicFrameLocks noChangeAspect="1"/>
                          </wp:cNvGraphicFramePr>
                          <a:graphic>
                            <a:graphicData uri="http://schemas.openxmlformats.org/drawingml/2006/picture">
                              <pic:pic>
                                <pic:nvPicPr>
                                  <pic:cNvPr id="6" name="image5.png"/>
                                  <pic:cNvPicPr/>
                                </pic:nvPicPr>
                                <pic:blipFill>
                                  <a:blip r:embed="rId11" cstate="print"/>
                                  <a:stretch>
                                    <a:fillRect/>
                                  </a:stretch>
                                </pic:blipFill>
                                <pic:spPr>
                                  <a:xfrm>
                                    <a:off x="0" y="0"/>
                                    <a:ext cx="5098592" cy="1991677"/>
                                  </a:xfrm>
                                  <a:prstGeom prst="rect">
                                    <a:avLst/>
                                  </a:prstGeom>
                                </pic:spPr>
                              </pic:pic>
                            </a:graphicData>
                          </a:graphic>
                        </wp:inline>
                      </w:drawing>
                    </w:r>
                    <w:r>
                      <w:rPr>
                        <w:sz w:val="20"/>
                      </w:rPr>
                    </w:r>
                  </w:p>
                  <w:p>
                    <w:pPr>
                      <w:spacing w:before="98"/>
                      <w:ind w:left="583" w:right="0" w:firstLine="0"/>
                      <w:jc w:val="left"/>
                      <w:rPr>
                        <w:b/>
                        <w:sz w:val="24"/>
                      </w:rPr>
                    </w:pPr>
                    <w:r>
                      <w:rPr>
                        <w:rFonts w:ascii="Times New Roman" w:eastAsia="Times New Roman"/>
                        <w:b/>
                        <w:w w:val="95"/>
                        <w:sz w:val="24"/>
                      </w:rPr>
                      <w:t>3</w:t>
                    </w:r>
                    <w:r>
                      <w:rPr>
                        <w:b/>
                        <w:w w:val="95"/>
                        <w:sz w:val="24"/>
                      </w:rPr>
                      <w:t>、噪声</w:t>
                    </w:r>
                  </w:p>
                  <w:p>
                    <w:pPr>
                      <w:spacing w:before="136"/>
                      <w:ind w:left="580" w:right="0" w:firstLine="0"/>
                      <w:jc w:val="left"/>
                      <w:rPr>
                        <w:sz w:val="24"/>
                      </w:rPr>
                    </w:pPr>
                    <w:r>
                      <w:rPr>
                        <w:sz w:val="24"/>
                      </w:rPr>
                      <w:t>营运期产生的交通噪声主要由以下两方面引起：</w:t>
                    </w:r>
                  </w:p>
                  <w:p>
                    <w:pPr>
                      <w:spacing w:line="357" w:lineRule="auto" w:before="151"/>
                      <w:ind w:left="100" w:right="10" w:firstLine="479"/>
                      <w:jc w:val="left"/>
                      <w:rPr>
                        <w:sz w:val="24"/>
                      </w:rPr>
                    </w:pPr>
                    <w:r>
                      <w:rPr>
                        <w:sz w:val="24"/>
                      </w:rPr>
                      <w:t>①车辆行驶时发动机产生噪声及车辆行驶引起的气流湍动、排气系统、轮胎与路面磨擦产生噪声。</w:t>
                    </w:r>
                  </w:p>
                  <w:p>
                    <w:pPr>
                      <w:spacing w:before="33"/>
                      <w:ind w:left="580" w:right="0" w:firstLine="0"/>
                      <w:jc w:val="left"/>
                      <w:rPr>
                        <w:sz w:val="24"/>
                      </w:rPr>
                    </w:pPr>
                    <w:r>
                      <w:rPr>
                        <w:sz w:val="24"/>
                      </w:rPr>
                      <w:t>②由于道路路面平整度等原因，高速行驶的汽车发生振动所产生的噪声。</w:t>
                    </w:r>
                  </w:p>
                </w:txbxContent>
              </v:textbox>
              <v:stroke dashstyle="solid"/>
              <w10:wrap type="none"/>
            </v:shape>
          </v:group>
        </w:pict>
      </w:r>
      <w:r>
        <w:rPr>
          <w:sz w:val="20"/>
        </w:rPr>
      </w:r>
    </w:p>
    <w:p>
      <w:pPr>
        <w:spacing w:after="0"/>
        <w:rPr>
          <w:sz w:val="20"/>
        </w:rPr>
        <w:sectPr>
          <w:pgSz w:w="11910" w:h="16850"/>
          <w:pgMar w:header="0" w:footer="1141" w:top="1440" w:bottom="1400" w:left="1680" w:right="1680"/>
        </w:sectPr>
      </w:pPr>
    </w:p>
    <w:p>
      <w:pPr>
        <w:pStyle w:val="BodyText"/>
        <w:spacing w:line="338" w:lineRule="auto" w:before="13"/>
        <w:ind w:left="238" w:right="234" w:firstLine="479"/>
        <w:jc w:val="both"/>
      </w:pPr>
      <w:r>
        <w:rPr/>
        <w:pict>
          <v:group style="position:absolute;margin-left:89.768997pt;margin-top:71.624977pt;width:415.95pt;height:684.75pt;mso-position-horizontal-relative:page;mso-position-vertical-relative:page;z-index:-197800" coordorigin="1795,1432" coordsize="8319,13695">
            <v:line style="position:absolute" from="1817,1447" to="10091,1447" stroked="true" strokeweight=".72pt" strokecolor="#000000">
              <v:stroke dashstyle="solid"/>
            </v:line>
            <v:line style="position:absolute" from="1810,1440" to="1810,15112" stroked="true" strokeweight=".72pt" strokecolor="#000000">
              <v:stroke dashstyle="solid"/>
            </v:line>
            <v:line style="position:absolute" from="1803,15120" to="1817,15120" stroked="true" strokeweight=".71997pt" strokecolor="#000000">
              <v:stroke dashstyle="solid"/>
            </v:line>
            <v:line style="position:absolute" from="1803,15120" to="1817,15120" stroked="true" strokeweight=".71997pt" strokecolor="#000000">
              <v:stroke dashstyle="solid"/>
            </v:line>
            <v:line style="position:absolute" from="1817,15120" to="10091,15120" stroked="true" strokeweight=".71997pt" strokecolor="#000000">
              <v:stroke dashstyle="solid"/>
            </v:line>
            <v:line style="position:absolute" from="10099,1440" to="10099,15112" stroked="true" strokeweight=".71997pt" strokecolor="#000000">
              <v:stroke dashstyle="solid"/>
            </v:line>
            <v:line style="position:absolute" from="10092,15120" to="10106,15120" stroked="true" strokeweight=".71997pt" strokecolor="#000000">
              <v:stroke dashstyle="solid"/>
            </v:line>
            <v:line style="position:absolute" from="10092,15120" to="10106,15120" stroked="true" strokeweight=".71997pt" strokecolor="#000000">
              <v:stroke dashstyle="solid"/>
            </v:line>
            <w10:wrap type="none"/>
          </v:group>
        </w:pict>
      </w:r>
      <w:r>
        <w:rPr/>
        <w:t>根据《环境影响评价技术导则</w:t>
      </w:r>
      <w:r>
        <w:rPr>
          <w:rFonts w:ascii="Times New Roman" w:eastAsia="Times New Roman"/>
        </w:rPr>
        <w:t>-</w:t>
      </w:r>
      <w:r>
        <w:rPr>
          <w:spacing w:val="-30"/>
        </w:rPr>
        <w:t>声环境》</w:t>
      </w:r>
      <w:r>
        <w:rPr/>
        <w:t>（</w:t>
      </w:r>
      <w:r>
        <w:rPr>
          <w:rFonts w:ascii="Times New Roman" w:eastAsia="Times New Roman"/>
        </w:rPr>
        <w:t>HJ2.4-2009</w:t>
      </w:r>
      <w:r>
        <w:rPr/>
        <w:t>）并参照《公路建设</w:t>
      </w:r>
      <w:r>
        <w:rPr>
          <w:spacing w:val="-12"/>
        </w:rPr>
        <w:t>项目环境影响评价规范》</w:t>
      </w:r>
      <w:r>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B</w:t>
      </w:r>
      <w:r>
        <w:rPr>
          <w:rFonts w:ascii="Times New Roman" w:eastAsia="Times New Roman"/>
          <w:w w:val="99"/>
        </w:rPr>
        <w:t>03</w:t>
      </w:r>
      <w:r>
        <w:rPr>
          <w:rFonts w:ascii="Times New Roman" w:eastAsia="Times New Roman"/>
          <w:spacing w:val="-1"/>
          <w:w w:val="99"/>
        </w:rPr>
        <w:t>-</w:t>
      </w:r>
      <w:r>
        <w:rPr>
          <w:rFonts w:ascii="Times New Roman" w:eastAsia="Times New Roman"/>
          <w:w w:val="99"/>
        </w:rPr>
        <w:t>2006</w:t>
      </w:r>
      <w:r>
        <w:rPr>
          <w:spacing w:val="-120"/>
          <w:w w:val="99"/>
        </w:rPr>
        <w:t>）</w:t>
      </w:r>
      <w:r>
        <w:rPr>
          <w:spacing w:val="-3"/>
          <w:w w:val="99"/>
        </w:rPr>
        <w:t>，确定各类车辆在不同车速下的平均</w:t>
      </w:r>
      <w:r>
        <w:rPr>
          <w:spacing w:val="-10"/>
        </w:rPr>
        <w:t>辐射声级，详见表 </w:t>
      </w:r>
      <w:r>
        <w:rPr>
          <w:rFonts w:ascii="Times New Roman" w:eastAsia="Times New Roman"/>
        </w:rPr>
        <w:t>5-3</w:t>
      </w:r>
      <w:r>
        <w:rPr/>
        <w:t>。</w:t>
      </w:r>
    </w:p>
    <w:p>
      <w:pPr>
        <w:pStyle w:val="BodyText"/>
        <w:spacing w:line="338" w:lineRule="auto" w:before="26"/>
        <w:ind w:left="238" w:right="231" w:firstLine="479"/>
        <w:jc w:val="both"/>
      </w:pPr>
      <w:r>
        <w:rPr>
          <w:spacing w:val="-10"/>
        </w:rPr>
        <w:t>因此，按设计车速 </w:t>
      </w:r>
      <w:r>
        <w:rPr>
          <w:rFonts w:ascii="Times New Roman" w:eastAsia="Times New Roman"/>
        </w:rPr>
        <w:t>20km/h </w:t>
      </w:r>
      <w:r>
        <w:rPr>
          <w:spacing w:val="-7"/>
        </w:rPr>
        <w:t>计，本项目小型车平均辐射声级为 </w:t>
      </w:r>
      <w:r>
        <w:rPr>
          <w:rFonts w:ascii="Times New Roman" w:eastAsia="Times New Roman"/>
        </w:rPr>
        <w:t>68.2dB</w:t>
      </w:r>
      <w:r>
        <w:rPr>
          <w:spacing w:val="-8"/>
        </w:rPr>
        <w:t>。车</w:t>
      </w:r>
      <w:r>
        <w:rPr>
          <w:spacing w:val="-6"/>
        </w:rPr>
        <w:t>型分类及换算系数按建设部《城市道路设计规范》</w:t>
      </w:r>
      <w:r>
        <w:rPr/>
        <w:t>（</w:t>
      </w:r>
      <w:r>
        <w:rPr>
          <w:rFonts w:ascii="Times New Roman" w:eastAsia="Times New Roman"/>
        </w:rPr>
        <w:t>CJJ37-90</w:t>
      </w:r>
      <w:r>
        <w:rPr/>
        <w:t>）规定，为小汽</w:t>
      </w:r>
      <w:r>
        <w:rPr>
          <w:spacing w:val="-6"/>
        </w:rPr>
        <w:t>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24"/>
        <w:ind w:left="2516"/>
      </w:pPr>
      <w:r>
        <w:rPr/>
        <w:t>表</w:t>
      </w:r>
      <w:r>
        <w:rPr>
          <w:spacing w:val="-60"/>
        </w:rPr>
        <w:t> </w:t>
      </w:r>
      <w:r>
        <w:rPr>
          <w:rFonts w:ascii="Times New Roman" w:eastAsia="Times New Roman"/>
        </w:rPr>
        <w:t>5-4</w:t>
        <w:tab/>
      </w:r>
      <w:r>
        <w:rPr>
          <w:w w:val="95"/>
        </w:rPr>
        <w:t>各类型车的平均辐射声级</w:t>
      </w:r>
    </w:p>
    <w:p>
      <w:pPr>
        <w:pStyle w:val="BodyText"/>
        <w:spacing w:before="4"/>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3"/>
        <w:gridCol w:w="4155"/>
        <w:gridCol w:w="2888"/>
      </w:tblGrid>
      <w:tr>
        <w:trPr>
          <w:trHeight w:val="356" w:hRule="exact"/>
        </w:trPr>
        <w:tc>
          <w:tcPr>
            <w:tcW w:w="1013" w:type="dxa"/>
          </w:tcPr>
          <w:p>
            <w:pPr>
              <w:pStyle w:val="TableParagraph"/>
              <w:spacing w:before="23"/>
              <w:ind w:left="166" w:right="162"/>
              <w:rPr>
                <w:sz w:val="21"/>
              </w:rPr>
            </w:pPr>
            <w:r>
              <w:rPr>
                <w:sz w:val="21"/>
              </w:rPr>
              <w:t>车型</w:t>
            </w:r>
          </w:p>
        </w:tc>
        <w:tc>
          <w:tcPr>
            <w:tcW w:w="4155" w:type="dxa"/>
          </w:tcPr>
          <w:p>
            <w:pPr>
              <w:pStyle w:val="TableParagraph"/>
              <w:spacing w:before="23"/>
              <w:ind w:left="423" w:right="420"/>
              <w:rPr>
                <w:rFonts w:ascii="Times New Roman" w:eastAsia="Times New Roman"/>
                <w:sz w:val="21"/>
              </w:rPr>
            </w:pPr>
            <w:r>
              <w:rPr>
                <w:sz w:val="21"/>
              </w:rPr>
              <w:t>平均辐射声级 </w:t>
            </w:r>
            <w:r>
              <w:rPr>
                <w:rFonts w:ascii="Times New Roman" w:eastAsia="Times New Roman"/>
                <w:sz w:val="21"/>
              </w:rPr>
              <w:t>(dB)</w:t>
            </w:r>
          </w:p>
        </w:tc>
        <w:tc>
          <w:tcPr>
            <w:tcW w:w="2888" w:type="dxa"/>
          </w:tcPr>
          <w:p>
            <w:pPr>
              <w:pStyle w:val="TableParagraph"/>
              <w:spacing w:before="23"/>
              <w:ind w:left="316" w:right="315"/>
              <w:rPr>
                <w:sz w:val="21"/>
              </w:rPr>
            </w:pPr>
            <w:r>
              <w:rPr>
                <w:sz w:val="21"/>
              </w:rPr>
              <w:t>备注</w:t>
            </w:r>
          </w:p>
        </w:tc>
      </w:tr>
      <w:tr>
        <w:trPr>
          <w:trHeight w:val="355" w:hRule="exact"/>
        </w:trPr>
        <w:tc>
          <w:tcPr>
            <w:tcW w:w="1013" w:type="dxa"/>
          </w:tcPr>
          <w:p>
            <w:pPr>
              <w:pStyle w:val="TableParagraph"/>
              <w:spacing w:before="23"/>
              <w:ind w:left="166" w:right="162"/>
              <w:rPr>
                <w:sz w:val="21"/>
              </w:rPr>
            </w:pPr>
            <w:r>
              <w:rPr>
                <w:sz w:val="21"/>
              </w:rPr>
              <w:t>大型车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L </w:t>
            </w:r>
            <w:r>
              <w:rPr>
                <w:sz w:val="21"/>
              </w:rPr>
              <w:t>大型车平均行驶速度</w:t>
            </w:r>
          </w:p>
        </w:tc>
      </w:tr>
      <w:tr>
        <w:trPr>
          <w:trHeight w:val="355" w:hRule="exact"/>
        </w:trPr>
        <w:tc>
          <w:tcPr>
            <w:tcW w:w="1013" w:type="dxa"/>
          </w:tcPr>
          <w:p>
            <w:pPr>
              <w:pStyle w:val="TableParagraph"/>
              <w:spacing w:before="23"/>
              <w:ind w:left="166" w:right="162"/>
              <w:rPr>
                <w:sz w:val="21"/>
              </w:rPr>
            </w:pPr>
            <w:r>
              <w:rPr>
                <w:sz w:val="21"/>
              </w:rPr>
              <w:t>中型车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M </w:t>
            </w:r>
            <w:r>
              <w:rPr>
                <w:sz w:val="21"/>
              </w:rPr>
              <w:t>中型车平均行驶速度</w:t>
            </w:r>
          </w:p>
        </w:tc>
      </w:tr>
      <w:tr>
        <w:trPr>
          <w:trHeight w:val="355" w:hRule="exact"/>
        </w:trPr>
        <w:tc>
          <w:tcPr>
            <w:tcW w:w="1013" w:type="dxa"/>
          </w:tcPr>
          <w:p>
            <w:pPr>
              <w:pStyle w:val="TableParagraph"/>
              <w:spacing w:before="21"/>
              <w:ind w:left="166" w:right="162"/>
              <w:rPr>
                <w:sz w:val="21"/>
              </w:rPr>
            </w:pPr>
            <w:r>
              <w:rPr>
                <w:sz w:val="21"/>
              </w:rPr>
              <w:t>小型车</w:t>
            </w:r>
          </w:p>
        </w:tc>
        <w:tc>
          <w:tcPr>
            <w:tcW w:w="4155" w:type="dxa"/>
          </w:tcPr>
          <w:p>
            <w:pPr>
              <w:pStyle w:val="TableParagraph"/>
              <w:spacing w:before="21"/>
              <w:ind w:left="422" w:right="420"/>
              <w:rPr>
                <w:sz w:val="21"/>
              </w:rPr>
            </w:pP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1"/>
              <w:ind w:left="315" w:right="315"/>
              <w:rPr>
                <w:sz w:val="21"/>
              </w:rPr>
            </w:pPr>
            <w:r>
              <w:rPr>
                <w:rFonts w:ascii="Times New Roman" w:eastAsia="Times New Roman"/>
                <w:sz w:val="21"/>
              </w:rPr>
              <w:t>V</w:t>
            </w:r>
            <w:r>
              <w:rPr>
                <w:rFonts w:ascii="Times New Roman" w:eastAsia="Times New Roman"/>
                <w:position w:val="-2"/>
                <w:sz w:val="14"/>
              </w:rPr>
              <w:t>S </w:t>
            </w:r>
            <w:r>
              <w:rPr>
                <w:sz w:val="21"/>
              </w:rPr>
              <w:t>小型车平均行驶速度</w:t>
            </w:r>
          </w:p>
        </w:tc>
      </w:tr>
    </w:tbl>
    <w:p>
      <w:pPr>
        <w:spacing w:before="0"/>
        <w:ind w:left="658" w:right="0" w:firstLine="0"/>
        <w:jc w:val="left"/>
        <w:rPr>
          <w:sz w:val="21"/>
        </w:rPr>
      </w:pPr>
      <w:r>
        <w:rPr>
          <w:sz w:val="21"/>
        </w:rPr>
        <w:t>注：本项目为城市市政道路，主要为小型车，故不做修正</w:t>
      </w:r>
    </w:p>
    <w:p>
      <w:pPr>
        <w:pStyle w:val="Heading3"/>
        <w:spacing w:before="127"/>
        <w:ind w:left="720"/>
      </w:pPr>
      <w:r>
        <w:rPr>
          <w:rFonts w:ascii="Times New Roman" w:eastAsia="Times New Roman"/>
          <w:w w:val="95"/>
        </w:rPr>
        <w:t>4</w:t>
      </w:r>
      <w:r>
        <w:rPr>
          <w:w w:val="95"/>
        </w:rPr>
        <w:t>、固废</w:t>
      </w:r>
    </w:p>
    <w:p>
      <w:pPr>
        <w:pStyle w:val="BodyText"/>
        <w:spacing w:line="355" w:lineRule="auto" w:before="136"/>
        <w:ind w:left="718" w:right="172"/>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pStyle w:val="BodyText"/>
        <w:spacing w:line="336" w:lineRule="auto" w:before="8"/>
        <w:ind w:left="238"/>
      </w:pPr>
      <w:r>
        <w:rPr/>
        <w:t>垃圾由环卫部门统一清运；路面清扫产生的清扫垃圾为 </w:t>
      </w:r>
      <w:r>
        <w:rPr>
          <w:rFonts w:ascii="Times New Roman" w:eastAsia="Times New Roman"/>
        </w:rPr>
        <w:t>5kg/d</w:t>
      </w:r>
      <w:r>
        <w:rPr/>
        <w:t>，由环卫部门统一收集处理。</w:t>
      </w:r>
    </w:p>
    <w:p>
      <w:pPr>
        <w:spacing w:after="0" w:line="336" w:lineRule="auto"/>
        <w:sectPr>
          <w:pgSz w:w="11910" w:h="16850"/>
          <w:pgMar w:header="0" w:footer="1141" w:top="1400" w:bottom="1400" w:left="1680" w:right="1680"/>
        </w:sectPr>
      </w:pPr>
    </w:p>
    <w:p>
      <w:pPr>
        <w:pStyle w:val="Heading1"/>
        <w:tabs>
          <w:tab w:pos="7317" w:val="left" w:leader="none"/>
        </w:tabs>
        <w:ind w:left="238"/>
      </w:pPr>
      <w:r>
        <w:rPr/>
        <w:pict>
          <v:line style="position:absolute;mso-position-horizontal-relative:page;mso-position-vertical-relative:paragraph;z-index:-197776" from="83.783997pt,31.860001pt" to="111.139997pt,98.460001pt" stroked="true" strokeweight=".48pt" strokecolor="#000000">
            <v:stroke dashstyle="solid"/>
            <w10:wrap type="none"/>
          </v:line>
        </w:pict>
      </w:r>
      <w:r>
        <w:rPr/>
        <w:t>项目主要污染物产生及预计排放情况</w:t>
        <w:tab/>
      </w:r>
      <w:r>
        <w:rPr>
          <w:w w:val="95"/>
        </w:rPr>
        <w:t>（表六）</w:t>
      </w:r>
    </w:p>
    <w:p>
      <w:pPr>
        <w:pStyle w:val="BodyText"/>
        <w:spacing w:before="5"/>
        <w:rPr>
          <w:b/>
          <w:sz w:val="18"/>
        </w:rPr>
      </w:pPr>
    </w:p>
    <w:tbl>
      <w:tblPr>
        <w:tblW w:w="0" w:type="auto"/>
        <w:jc w:val="left"/>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2"/>
        <w:gridCol w:w="552"/>
        <w:gridCol w:w="1285"/>
        <w:gridCol w:w="1135"/>
        <w:gridCol w:w="1608"/>
        <w:gridCol w:w="1781"/>
        <w:gridCol w:w="1652"/>
      </w:tblGrid>
      <w:tr>
        <w:trPr>
          <w:trHeight w:val="1346" w:hRule="exact"/>
        </w:trPr>
        <w:tc>
          <w:tcPr>
            <w:tcW w:w="562" w:type="dxa"/>
          </w:tcPr>
          <w:p>
            <w:pPr>
              <w:pStyle w:val="TableParagraph"/>
              <w:spacing w:line="240" w:lineRule="exact"/>
              <w:ind w:left="100"/>
              <w:jc w:val="left"/>
              <w:rPr>
                <w:sz w:val="21"/>
              </w:rPr>
            </w:pPr>
            <w:r>
              <w:rPr>
                <w:w w:val="100"/>
                <w:sz w:val="21"/>
              </w:rPr>
              <w:t>内</w:t>
            </w:r>
          </w:p>
          <w:p>
            <w:pPr>
              <w:pStyle w:val="TableParagraph"/>
              <w:spacing w:line="274" w:lineRule="exact"/>
              <w:ind w:left="168" w:hanging="68"/>
              <w:jc w:val="left"/>
              <w:rPr>
                <w:sz w:val="21"/>
              </w:rPr>
            </w:pPr>
            <w:r>
              <w:rPr>
                <w:w w:val="100"/>
                <w:sz w:val="21"/>
              </w:rPr>
              <w:t>容</w:t>
            </w:r>
          </w:p>
          <w:p>
            <w:pPr>
              <w:pStyle w:val="TableParagraph"/>
              <w:spacing w:before="4"/>
              <w:jc w:val="left"/>
              <w:rPr>
                <w:b/>
                <w:sz w:val="20"/>
              </w:rPr>
            </w:pPr>
          </w:p>
          <w:p>
            <w:pPr>
              <w:pStyle w:val="TableParagraph"/>
              <w:spacing w:line="272" w:lineRule="exact"/>
              <w:ind w:left="168" w:right="149"/>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87"/>
              <w:jc w:val="left"/>
              <w:rPr>
                <w:sz w:val="21"/>
              </w:rPr>
            </w:pPr>
            <w:r>
              <w:rPr>
                <w:sz w:val="21"/>
              </w:rPr>
              <w:t>排 放 源</w:t>
            </w:r>
          </w:p>
        </w:tc>
        <w:tc>
          <w:tcPr>
            <w:tcW w:w="1135" w:type="dxa"/>
          </w:tcPr>
          <w:p>
            <w:pPr>
              <w:pStyle w:val="TableParagraph"/>
              <w:jc w:val="left"/>
              <w:rPr>
                <w:b/>
                <w:sz w:val="17"/>
              </w:rPr>
            </w:pPr>
          </w:p>
          <w:p>
            <w:pPr>
              <w:pStyle w:val="TableParagraph"/>
              <w:ind w:left="79" w:right="77"/>
              <w:rPr>
                <w:sz w:val="21"/>
              </w:rPr>
            </w:pPr>
            <w:r>
              <w:rPr>
                <w:sz w:val="21"/>
              </w:rPr>
              <w:t>主要污染物</w:t>
            </w:r>
          </w:p>
          <w:p>
            <w:pPr>
              <w:pStyle w:val="TableParagraph"/>
              <w:spacing w:line="271" w:lineRule="exact"/>
              <w:ind w:left="79" w:right="79"/>
              <w:rPr>
                <w:sz w:val="21"/>
              </w:rPr>
            </w:pPr>
            <w:r>
              <w:rPr>
                <w:sz w:val="21"/>
              </w:rPr>
              <w:t>名称</w:t>
            </w:r>
          </w:p>
        </w:tc>
        <w:tc>
          <w:tcPr>
            <w:tcW w:w="1608" w:type="dxa"/>
          </w:tcPr>
          <w:p>
            <w:pPr>
              <w:pStyle w:val="TableParagraph"/>
              <w:spacing w:line="241" w:lineRule="exact"/>
              <w:ind w:left="374"/>
              <w:jc w:val="left"/>
              <w:rPr>
                <w:sz w:val="21"/>
              </w:rPr>
            </w:pPr>
            <w:r>
              <w:rPr>
                <w:sz w:val="21"/>
              </w:rPr>
              <w:t>处置方式</w:t>
            </w:r>
          </w:p>
        </w:tc>
        <w:tc>
          <w:tcPr>
            <w:tcW w:w="1781" w:type="dxa"/>
          </w:tcPr>
          <w:p>
            <w:pPr>
              <w:pStyle w:val="TableParagraph"/>
              <w:spacing w:before="6"/>
              <w:jc w:val="left"/>
              <w:rPr>
                <w:b/>
                <w:sz w:val="27"/>
              </w:rPr>
            </w:pPr>
          </w:p>
          <w:p>
            <w:pPr>
              <w:pStyle w:val="TableParagraph"/>
              <w:ind w:left="463" w:right="130" w:hanging="317"/>
              <w:jc w:val="left"/>
              <w:rPr>
                <w:sz w:val="21"/>
              </w:rPr>
            </w:pPr>
            <w:r>
              <w:rPr>
                <w:sz w:val="21"/>
              </w:rPr>
              <w:t>处理前产生浓度及产生量</w:t>
            </w:r>
          </w:p>
        </w:tc>
        <w:tc>
          <w:tcPr>
            <w:tcW w:w="1652" w:type="dxa"/>
          </w:tcPr>
          <w:p>
            <w:pPr>
              <w:pStyle w:val="TableParagraph"/>
              <w:spacing w:before="6"/>
              <w:jc w:val="left"/>
              <w:rPr>
                <w:b/>
                <w:sz w:val="27"/>
              </w:rPr>
            </w:pPr>
          </w:p>
          <w:p>
            <w:pPr>
              <w:pStyle w:val="TableParagraph"/>
              <w:ind w:left="502" w:right="277" w:hanging="212"/>
              <w:jc w:val="left"/>
              <w:rPr>
                <w:sz w:val="21"/>
              </w:rPr>
            </w:pPr>
            <w:r>
              <w:rPr>
                <w:sz w:val="21"/>
              </w:rPr>
              <w:t>排放浓度及排放量</w:t>
            </w:r>
          </w:p>
        </w:tc>
      </w:tr>
      <w:tr>
        <w:trPr>
          <w:trHeight w:val="833" w:hRule="exact"/>
        </w:trPr>
        <w:tc>
          <w:tcPr>
            <w:tcW w:w="562" w:type="dxa"/>
            <w:vMerge w:val="restart"/>
          </w:tcPr>
          <w:p>
            <w:pPr>
              <w:pStyle w:val="TableParagraph"/>
              <w:spacing w:line="247" w:lineRule="exact"/>
              <w:ind w:left="168"/>
              <w:jc w:val="both"/>
              <w:rPr>
                <w:sz w:val="21"/>
              </w:rPr>
            </w:pPr>
            <w:r>
              <w:rPr>
                <w:w w:val="100"/>
                <w:sz w:val="21"/>
              </w:rPr>
              <w:t>大</w:t>
            </w:r>
          </w:p>
          <w:p>
            <w:pPr>
              <w:pStyle w:val="TableParagraph"/>
              <w:spacing w:line="237" w:lineRule="auto" w:before="2"/>
              <w:ind w:left="168" w:right="165"/>
              <w:jc w:val="both"/>
              <w:rPr>
                <w:sz w:val="21"/>
              </w:rPr>
            </w:pPr>
            <w:r>
              <w:rPr>
                <w:sz w:val="21"/>
              </w:rPr>
              <w:t>气污染物</w:t>
            </w:r>
          </w:p>
        </w:tc>
        <w:tc>
          <w:tcPr>
            <w:tcW w:w="552" w:type="dxa"/>
            <w:vMerge w:val="restart"/>
          </w:tcPr>
          <w:p>
            <w:pPr>
              <w:pStyle w:val="TableParagraph"/>
              <w:jc w:val="left"/>
              <w:rPr>
                <w:b/>
                <w:sz w:val="19"/>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3"/>
              <w:jc w:val="left"/>
              <w:rPr>
                <w:b/>
                <w:sz w:val="18"/>
              </w:rPr>
            </w:pPr>
          </w:p>
          <w:p>
            <w:pPr>
              <w:pStyle w:val="TableParagraph"/>
              <w:spacing w:before="1"/>
              <w:ind w:left="86" w:right="91"/>
              <w:rPr>
                <w:sz w:val="21"/>
              </w:rPr>
            </w:pPr>
            <w:r>
              <w:rPr>
                <w:sz w:val="21"/>
              </w:rPr>
              <w:t>汽车尾气</w:t>
            </w:r>
          </w:p>
        </w:tc>
        <w:tc>
          <w:tcPr>
            <w:tcW w:w="1135" w:type="dxa"/>
          </w:tcPr>
          <w:p>
            <w:pPr>
              <w:pStyle w:val="TableParagraph"/>
              <w:spacing w:line="256" w:lineRule="exact"/>
              <w:ind w:left="79" w:right="79"/>
              <w:rPr>
                <w:sz w:val="21"/>
              </w:rPr>
            </w:pPr>
            <w:r>
              <w:rPr>
                <w:rFonts w:ascii="Times New Roman" w:eastAsia="Times New Roman"/>
                <w:sz w:val="21"/>
              </w:rPr>
              <w:t>NO</w:t>
            </w:r>
            <w:r>
              <w:rPr>
                <w:rFonts w:ascii="Times New Roman" w:eastAsia="Times New Roman"/>
                <w:position w:val="-2"/>
                <w:sz w:val="14"/>
              </w:rPr>
              <w:t>2</w:t>
            </w:r>
            <w:r>
              <w:rPr>
                <w:sz w:val="21"/>
              </w:rPr>
              <w:t>、</w:t>
            </w:r>
          </w:p>
          <w:p>
            <w:pPr>
              <w:pStyle w:val="TableParagraph"/>
              <w:spacing w:line="272" w:lineRule="exact"/>
              <w:ind w:left="79" w:right="79"/>
              <w:rPr>
                <w:sz w:val="21"/>
              </w:rPr>
            </w:pPr>
            <w:r>
              <w:rPr>
                <w:rFonts w:ascii="Times New Roman" w:eastAsia="Times New Roman"/>
                <w:sz w:val="21"/>
              </w:rPr>
              <w:t>SO</w:t>
            </w:r>
            <w:r>
              <w:rPr>
                <w:rFonts w:ascii="Times New Roman" w:eastAsia="Times New Roman"/>
                <w:position w:val="-2"/>
                <w:sz w:val="14"/>
              </w:rPr>
              <w:t>2</w:t>
            </w:r>
            <w:r>
              <w:rPr>
                <w:sz w:val="21"/>
              </w:rPr>
              <w:t>、</w:t>
            </w:r>
          </w:p>
          <w:p>
            <w:pPr>
              <w:pStyle w:val="TableParagraph"/>
              <w:spacing w:line="274" w:lineRule="exact"/>
              <w:ind w:left="79" w:right="79"/>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608" w:type="dxa"/>
          </w:tcPr>
          <w:p>
            <w:pPr>
              <w:pStyle w:val="TableParagraph"/>
              <w:spacing w:line="240" w:lineRule="exact"/>
              <w:ind w:left="2" w:right="5"/>
              <w:rPr>
                <w:sz w:val="21"/>
              </w:rPr>
            </w:pPr>
            <w:r>
              <w:rPr>
                <w:sz w:val="21"/>
              </w:rPr>
              <w:t>合理控制车流</w:t>
            </w:r>
          </w:p>
          <w:p>
            <w:pPr>
              <w:pStyle w:val="TableParagraph"/>
              <w:spacing w:line="274" w:lineRule="exact"/>
              <w:ind w:right="3"/>
              <w:rPr>
                <w:sz w:val="21"/>
              </w:rPr>
            </w:pPr>
            <w:r>
              <w:rPr>
                <w:w w:val="100"/>
                <w:sz w:val="21"/>
              </w:rPr>
              <w:t>量</w:t>
            </w:r>
          </w:p>
        </w:tc>
        <w:tc>
          <w:tcPr>
            <w:tcW w:w="1781" w:type="dxa"/>
          </w:tcPr>
          <w:p>
            <w:pPr>
              <w:pStyle w:val="TableParagraph"/>
              <w:spacing w:before="3"/>
              <w:jc w:val="left"/>
              <w:rPr>
                <w:b/>
                <w:sz w:val="18"/>
              </w:rPr>
            </w:pPr>
          </w:p>
          <w:p>
            <w:pPr>
              <w:pStyle w:val="TableParagraph"/>
              <w:spacing w:before="1"/>
              <w:ind w:right="671"/>
              <w:jc w:val="right"/>
              <w:rPr>
                <w:sz w:val="21"/>
              </w:rPr>
            </w:pPr>
            <w:r>
              <w:rPr>
                <w:sz w:val="21"/>
              </w:rPr>
              <w:t>少量</w:t>
            </w:r>
          </w:p>
        </w:tc>
        <w:tc>
          <w:tcPr>
            <w:tcW w:w="1652" w:type="dxa"/>
          </w:tcPr>
          <w:p>
            <w:pPr>
              <w:pStyle w:val="TableParagraph"/>
              <w:spacing w:line="272" w:lineRule="exact" w:before="130"/>
              <w:ind w:left="502" w:hanging="402"/>
              <w:jc w:val="left"/>
              <w:rPr>
                <w:sz w:val="21"/>
              </w:rPr>
            </w:pPr>
            <w:r>
              <w:rPr>
                <w:sz w:val="21"/>
              </w:rPr>
              <w:t>少量，对环境影响较小</w:t>
            </w:r>
          </w:p>
        </w:tc>
      </w:tr>
      <w:tr>
        <w:trPr>
          <w:trHeight w:val="559" w:hRule="exact"/>
        </w:trPr>
        <w:tc>
          <w:tcPr>
            <w:tcW w:w="562" w:type="dxa"/>
            <w:vMerge/>
          </w:tcPr>
          <w:p>
            <w:pPr/>
          </w:p>
        </w:tc>
        <w:tc>
          <w:tcPr>
            <w:tcW w:w="552" w:type="dxa"/>
            <w:vMerge/>
          </w:tcPr>
          <w:p>
            <w:pPr/>
          </w:p>
        </w:tc>
        <w:tc>
          <w:tcPr>
            <w:tcW w:w="1285" w:type="dxa"/>
          </w:tcPr>
          <w:p>
            <w:pPr>
              <w:pStyle w:val="TableParagraph"/>
              <w:spacing w:before="102"/>
              <w:ind w:left="88" w:right="90"/>
              <w:rPr>
                <w:sz w:val="21"/>
              </w:rPr>
            </w:pPr>
            <w:r>
              <w:rPr>
                <w:sz w:val="21"/>
              </w:rPr>
              <w:t>扬尘</w:t>
            </w:r>
          </w:p>
        </w:tc>
        <w:tc>
          <w:tcPr>
            <w:tcW w:w="1135" w:type="dxa"/>
          </w:tcPr>
          <w:p>
            <w:pPr>
              <w:pStyle w:val="TableParagraph"/>
              <w:spacing w:before="144"/>
              <w:ind w:left="75" w:right="79"/>
              <w:rPr>
                <w:rFonts w:ascii="Times New Roman"/>
                <w:sz w:val="21"/>
              </w:rPr>
            </w:pPr>
            <w:r>
              <w:rPr>
                <w:rFonts w:ascii="Times New Roman"/>
                <w:sz w:val="21"/>
              </w:rPr>
              <w:t>TSP</w:t>
            </w:r>
          </w:p>
        </w:tc>
        <w:tc>
          <w:tcPr>
            <w:tcW w:w="1608" w:type="dxa"/>
          </w:tcPr>
          <w:p>
            <w:pPr>
              <w:pStyle w:val="TableParagraph"/>
              <w:spacing w:line="239" w:lineRule="exact"/>
              <w:ind w:left="79" w:right="5"/>
              <w:rPr>
                <w:sz w:val="21"/>
              </w:rPr>
            </w:pPr>
            <w:r>
              <w:rPr>
                <w:sz w:val="21"/>
              </w:rPr>
              <w:t>定期洒水降尘、</w:t>
            </w:r>
          </w:p>
          <w:p>
            <w:pPr>
              <w:pStyle w:val="TableParagraph"/>
              <w:spacing w:line="273" w:lineRule="exact"/>
              <w:ind w:left="5" w:right="5"/>
              <w:rPr>
                <w:sz w:val="21"/>
              </w:rPr>
            </w:pPr>
            <w:r>
              <w:rPr>
                <w:sz w:val="21"/>
              </w:rPr>
              <w:t>清扫路面</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39" w:lineRule="exact"/>
              <w:ind w:left="64" w:right="63"/>
              <w:rPr>
                <w:sz w:val="21"/>
              </w:rPr>
            </w:pPr>
            <w:r>
              <w:rPr>
                <w:sz w:val="21"/>
              </w:rPr>
              <w:t>少量，对环境影</w:t>
            </w:r>
          </w:p>
          <w:p>
            <w:pPr>
              <w:pStyle w:val="TableParagraph"/>
              <w:spacing w:line="273" w:lineRule="exact"/>
              <w:ind w:left="63" w:right="63"/>
              <w:rPr>
                <w:sz w:val="21"/>
              </w:rPr>
            </w:pPr>
            <w:r>
              <w:rPr>
                <w:sz w:val="21"/>
              </w:rPr>
              <w:t>响较小</w:t>
            </w:r>
          </w:p>
        </w:tc>
      </w:tr>
      <w:tr>
        <w:trPr>
          <w:trHeight w:val="1105" w:hRule="exact"/>
        </w:trPr>
        <w:tc>
          <w:tcPr>
            <w:tcW w:w="562" w:type="dxa"/>
          </w:tcPr>
          <w:p>
            <w:pPr>
              <w:pStyle w:val="TableParagraph"/>
              <w:spacing w:line="240" w:lineRule="exact"/>
              <w:ind w:left="180"/>
              <w:jc w:val="both"/>
              <w:rPr>
                <w:sz w:val="21"/>
              </w:rPr>
            </w:pPr>
            <w:r>
              <w:rPr>
                <w:w w:val="100"/>
                <w:sz w:val="21"/>
              </w:rPr>
              <w:t>水</w:t>
            </w:r>
          </w:p>
          <w:p>
            <w:pPr>
              <w:pStyle w:val="TableParagraph"/>
              <w:spacing w:line="272" w:lineRule="exact" w:before="27"/>
              <w:ind w:left="180" w:right="153"/>
              <w:jc w:val="both"/>
              <w:rPr>
                <w:sz w:val="21"/>
              </w:rPr>
            </w:pPr>
            <w:r>
              <w:rPr>
                <w:sz w:val="21"/>
              </w:rPr>
              <w:t>污染物</w:t>
            </w:r>
          </w:p>
        </w:tc>
        <w:tc>
          <w:tcPr>
            <w:tcW w:w="552" w:type="dxa"/>
          </w:tcPr>
          <w:p>
            <w:pPr>
              <w:pStyle w:val="TableParagraph"/>
              <w:spacing w:line="237" w:lineRule="auto" w:before="105"/>
              <w:ind w:left="160" w:right="163"/>
              <w:jc w:val="both"/>
              <w:rPr>
                <w:sz w:val="21"/>
              </w:rPr>
            </w:pPr>
            <w:r>
              <w:rPr>
                <w:sz w:val="21"/>
              </w:rPr>
              <w:t>营运期</w:t>
            </w:r>
          </w:p>
        </w:tc>
        <w:tc>
          <w:tcPr>
            <w:tcW w:w="1285" w:type="dxa"/>
          </w:tcPr>
          <w:p>
            <w:pPr>
              <w:pStyle w:val="TableParagraph"/>
              <w:spacing w:before="8"/>
              <w:jc w:val="left"/>
              <w:rPr>
                <w:b/>
                <w:sz w:val="28"/>
              </w:rPr>
            </w:pPr>
          </w:p>
          <w:p>
            <w:pPr>
              <w:pStyle w:val="TableParagraph"/>
              <w:ind w:left="88" w:right="91"/>
              <w:rPr>
                <w:sz w:val="21"/>
              </w:rPr>
            </w:pPr>
            <w:r>
              <w:rPr>
                <w:sz w:val="21"/>
              </w:rPr>
              <w:t>路面径流</w:t>
            </w:r>
          </w:p>
        </w:tc>
        <w:tc>
          <w:tcPr>
            <w:tcW w:w="1135" w:type="dxa"/>
          </w:tcPr>
          <w:p>
            <w:pPr>
              <w:pStyle w:val="TableParagraph"/>
              <w:spacing w:before="6"/>
              <w:jc w:val="left"/>
              <w:rPr>
                <w:b/>
                <w:sz w:val="20"/>
              </w:rPr>
            </w:pPr>
          </w:p>
          <w:p>
            <w:pPr>
              <w:pStyle w:val="TableParagraph"/>
              <w:spacing w:line="272" w:lineRule="exact"/>
              <w:ind w:left="453" w:right="111" w:hanging="327"/>
              <w:jc w:val="left"/>
              <w:rPr>
                <w:sz w:val="21"/>
              </w:rPr>
            </w:pPr>
            <w:r>
              <w:rPr>
                <w:rFonts w:ascii="Times New Roman" w:eastAsia="Times New Roman"/>
                <w:sz w:val="21"/>
              </w:rPr>
              <w:t>SS</w:t>
            </w:r>
            <w:r>
              <w:rPr>
                <w:sz w:val="21"/>
              </w:rPr>
              <w:t>、石油类</w:t>
            </w:r>
          </w:p>
        </w:tc>
        <w:tc>
          <w:tcPr>
            <w:tcW w:w="1608" w:type="dxa"/>
          </w:tcPr>
          <w:p>
            <w:pPr>
              <w:pStyle w:val="TableParagraph"/>
              <w:spacing w:line="240" w:lineRule="exact"/>
              <w:ind w:left="163"/>
              <w:jc w:val="left"/>
              <w:rPr>
                <w:sz w:val="21"/>
              </w:rPr>
            </w:pPr>
            <w:r>
              <w:rPr>
                <w:sz w:val="21"/>
              </w:rPr>
              <w:t>经雨水管网收</w:t>
            </w:r>
          </w:p>
          <w:p>
            <w:pPr>
              <w:pStyle w:val="TableParagraph"/>
              <w:spacing w:line="272" w:lineRule="exact" w:before="27"/>
              <w:ind w:left="583" w:right="151" w:hanging="420"/>
              <w:jc w:val="left"/>
              <w:rPr>
                <w:sz w:val="21"/>
              </w:rPr>
            </w:pPr>
            <w:r>
              <w:rPr>
                <w:sz w:val="21"/>
              </w:rPr>
              <w:t>集后排入周边沟渠</w:t>
            </w:r>
          </w:p>
        </w:tc>
        <w:tc>
          <w:tcPr>
            <w:tcW w:w="1781" w:type="dxa"/>
          </w:tcPr>
          <w:p>
            <w:pPr>
              <w:pStyle w:val="TableParagraph"/>
              <w:spacing w:before="8"/>
              <w:jc w:val="left"/>
              <w:rPr>
                <w:b/>
                <w:sz w:val="28"/>
              </w:rPr>
            </w:pPr>
          </w:p>
          <w:p>
            <w:pPr>
              <w:pStyle w:val="TableParagraph"/>
              <w:ind w:right="671"/>
              <w:jc w:val="right"/>
              <w:rPr>
                <w:sz w:val="21"/>
              </w:rPr>
            </w:pPr>
            <w:r>
              <w:rPr>
                <w:sz w:val="21"/>
              </w:rPr>
              <w:t>少量</w:t>
            </w:r>
          </w:p>
        </w:tc>
        <w:tc>
          <w:tcPr>
            <w:tcW w:w="1652" w:type="dxa"/>
          </w:tcPr>
          <w:p>
            <w:pPr>
              <w:pStyle w:val="TableParagraph"/>
              <w:spacing w:line="237" w:lineRule="auto" w:before="105"/>
              <w:ind w:left="110" w:right="70"/>
              <w:rPr>
                <w:sz w:val="21"/>
              </w:rPr>
            </w:pPr>
            <w:r>
              <w:rPr>
                <w:spacing w:val="-2"/>
                <w:sz w:val="21"/>
              </w:rPr>
              <w:t>排入雨水管网， </w:t>
            </w:r>
            <w:r>
              <w:rPr>
                <w:spacing w:val="-3"/>
                <w:sz w:val="21"/>
              </w:rPr>
              <w:t>对环境影响较 小</w:t>
            </w:r>
          </w:p>
        </w:tc>
      </w:tr>
      <w:tr>
        <w:trPr>
          <w:trHeight w:val="559" w:hRule="exact"/>
        </w:trPr>
        <w:tc>
          <w:tcPr>
            <w:tcW w:w="562" w:type="dxa"/>
            <w:vMerge w:val="restart"/>
          </w:tcPr>
          <w:p>
            <w:pPr>
              <w:pStyle w:val="TableParagraph"/>
              <w:spacing w:line="247" w:lineRule="exact"/>
              <w:ind w:left="168"/>
              <w:jc w:val="both"/>
              <w:rPr>
                <w:sz w:val="21"/>
              </w:rPr>
            </w:pPr>
            <w:r>
              <w:rPr>
                <w:w w:val="100"/>
                <w:sz w:val="21"/>
              </w:rPr>
              <w:t>固</w:t>
            </w:r>
          </w:p>
          <w:p>
            <w:pPr>
              <w:pStyle w:val="TableParagraph"/>
              <w:spacing w:line="237" w:lineRule="auto" w:before="2"/>
              <w:ind w:left="168" w:right="165"/>
              <w:jc w:val="both"/>
              <w:rPr>
                <w:sz w:val="21"/>
              </w:rPr>
            </w:pPr>
            <w:r>
              <w:rPr>
                <w:sz w:val="21"/>
              </w:rPr>
              <w:t>体废弃物</w:t>
            </w:r>
          </w:p>
        </w:tc>
        <w:tc>
          <w:tcPr>
            <w:tcW w:w="552" w:type="dxa"/>
            <w:vMerge w:val="restart"/>
          </w:tcPr>
          <w:p>
            <w:pPr>
              <w:pStyle w:val="TableParagraph"/>
              <w:jc w:val="left"/>
              <w:rPr>
                <w:b/>
                <w:sz w:val="19"/>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102"/>
              <w:ind w:left="88" w:right="91"/>
              <w:rPr>
                <w:sz w:val="21"/>
              </w:rPr>
            </w:pPr>
            <w:r>
              <w:rPr>
                <w:sz w:val="21"/>
              </w:rPr>
              <w:t>过桥行人</w:t>
            </w:r>
          </w:p>
        </w:tc>
        <w:tc>
          <w:tcPr>
            <w:tcW w:w="1135" w:type="dxa"/>
          </w:tcPr>
          <w:p>
            <w:pPr>
              <w:pStyle w:val="TableParagraph"/>
              <w:spacing w:line="240" w:lineRule="exact"/>
              <w:ind w:left="79" w:right="79"/>
              <w:rPr>
                <w:sz w:val="21"/>
              </w:rPr>
            </w:pPr>
            <w:r>
              <w:rPr>
                <w:sz w:val="21"/>
              </w:rPr>
              <w:t>生活废弃</w:t>
            </w:r>
          </w:p>
          <w:p>
            <w:pPr>
              <w:pStyle w:val="TableParagraph"/>
              <w:spacing w:line="274" w:lineRule="exact"/>
              <w:rPr>
                <w:sz w:val="21"/>
              </w:rPr>
            </w:pPr>
            <w:r>
              <w:rPr>
                <w:w w:val="100"/>
                <w:sz w:val="21"/>
              </w:rPr>
              <w:t>物</w:t>
            </w:r>
          </w:p>
        </w:tc>
        <w:tc>
          <w:tcPr>
            <w:tcW w:w="1608" w:type="dxa"/>
          </w:tcPr>
          <w:p>
            <w:pPr>
              <w:pStyle w:val="TableParagraph"/>
              <w:spacing w:line="240" w:lineRule="exact"/>
              <w:ind w:left="5" w:right="5"/>
              <w:rPr>
                <w:sz w:val="21"/>
              </w:rPr>
            </w:pPr>
            <w:r>
              <w:rPr>
                <w:sz w:val="21"/>
              </w:rPr>
              <w:t>设置垃圾桶、指</w:t>
            </w:r>
          </w:p>
          <w:p>
            <w:pPr>
              <w:pStyle w:val="TableParagraph"/>
              <w:spacing w:line="274" w:lineRule="exact"/>
              <w:ind w:left="2" w:right="5"/>
              <w:rPr>
                <w:sz w:val="21"/>
              </w:rPr>
            </w:pPr>
            <w:r>
              <w:rPr>
                <w:sz w:val="21"/>
              </w:rPr>
              <w:t>示牌</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40" w:lineRule="exact"/>
              <w:ind w:left="63" w:right="63"/>
              <w:rPr>
                <w:sz w:val="21"/>
              </w:rPr>
            </w:pPr>
            <w:r>
              <w:rPr>
                <w:sz w:val="21"/>
              </w:rPr>
              <w:t>环卫部门统一</w:t>
            </w:r>
          </w:p>
          <w:p>
            <w:pPr>
              <w:pStyle w:val="TableParagraph"/>
              <w:spacing w:line="274" w:lineRule="exact"/>
              <w:ind w:left="63" w:right="63"/>
              <w:rPr>
                <w:sz w:val="21"/>
              </w:rPr>
            </w:pPr>
            <w:r>
              <w:rPr>
                <w:sz w:val="21"/>
              </w:rPr>
              <w:t>清运</w:t>
            </w:r>
          </w:p>
        </w:tc>
      </w:tr>
      <w:tr>
        <w:trPr>
          <w:trHeight w:val="833" w:hRule="exact"/>
        </w:trPr>
        <w:tc>
          <w:tcPr>
            <w:tcW w:w="562" w:type="dxa"/>
            <w:vMerge/>
          </w:tcPr>
          <w:p>
            <w:pPr/>
          </w:p>
        </w:tc>
        <w:tc>
          <w:tcPr>
            <w:tcW w:w="552" w:type="dxa"/>
            <w:vMerge/>
          </w:tcPr>
          <w:p>
            <w:pPr/>
          </w:p>
        </w:tc>
        <w:tc>
          <w:tcPr>
            <w:tcW w:w="1285" w:type="dxa"/>
          </w:tcPr>
          <w:p>
            <w:pPr>
              <w:pStyle w:val="TableParagraph"/>
              <w:spacing w:before="3"/>
              <w:jc w:val="left"/>
              <w:rPr>
                <w:b/>
                <w:sz w:val="18"/>
              </w:rPr>
            </w:pPr>
          </w:p>
          <w:p>
            <w:pPr>
              <w:pStyle w:val="TableParagraph"/>
              <w:spacing w:before="1"/>
              <w:ind w:left="88" w:right="91"/>
              <w:rPr>
                <w:sz w:val="21"/>
              </w:rPr>
            </w:pPr>
            <w:r>
              <w:rPr>
                <w:sz w:val="21"/>
              </w:rPr>
              <w:t>行人或车辆</w:t>
            </w:r>
          </w:p>
        </w:tc>
        <w:tc>
          <w:tcPr>
            <w:tcW w:w="1135" w:type="dxa"/>
          </w:tcPr>
          <w:p>
            <w:pPr>
              <w:pStyle w:val="TableParagraph"/>
              <w:spacing w:before="3"/>
              <w:jc w:val="left"/>
              <w:rPr>
                <w:b/>
                <w:sz w:val="18"/>
              </w:rPr>
            </w:pPr>
          </w:p>
          <w:p>
            <w:pPr>
              <w:pStyle w:val="TableParagraph"/>
              <w:spacing w:before="1"/>
              <w:ind w:left="79" w:right="79"/>
              <w:rPr>
                <w:sz w:val="21"/>
              </w:rPr>
            </w:pPr>
            <w:r>
              <w:rPr>
                <w:sz w:val="21"/>
              </w:rPr>
              <w:t>清扫垃圾</w:t>
            </w:r>
          </w:p>
        </w:tc>
        <w:tc>
          <w:tcPr>
            <w:tcW w:w="1608" w:type="dxa"/>
          </w:tcPr>
          <w:p>
            <w:pPr>
              <w:pStyle w:val="TableParagraph"/>
              <w:spacing w:line="240" w:lineRule="exact"/>
              <w:ind w:left="163" w:hanging="65"/>
              <w:jc w:val="left"/>
              <w:rPr>
                <w:sz w:val="21"/>
              </w:rPr>
            </w:pPr>
            <w:r>
              <w:rPr>
                <w:sz w:val="21"/>
              </w:rPr>
              <w:t>环卫部门清扫、</w:t>
            </w:r>
          </w:p>
          <w:p>
            <w:pPr>
              <w:pStyle w:val="TableParagraph"/>
              <w:spacing w:line="272" w:lineRule="exact" w:before="27"/>
              <w:ind w:left="688" w:right="152" w:hanging="526"/>
              <w:jc w:val="left"/>
              <w:rPr>
                <w:sz w:val="21"/>
              </w:rPr>
            </w:pPr>
            <w:r>
              <w:rPr>
                <w:sz w:val="21"/>
              </w:rPr>
              <w:t>沿路设置垃圾箱</w:t>
            </w:r>
          </w:p>
        </w:tc>
        <w:tc>
          <w:tcPr>
            <w:tcW w:w="1781" w:type="dxa"/>
          </w:tcPr>
          <w:p>
            <w:pPr>
              <w:pStyle w:val="TableParagraph"/>
              <w:spacing w:before="3"/>
              <w:jc w:val="left"/>
              <w:rPr>
                <w:b/>
                <w:sz w:val="18"/>
              </w:rPr>
            </w:pPr>
          </w:p>
          <w:p>
            <w:pPr>
              <w:pStyle w:val="TableParagraph"/>
              <w:spacing w:before="1"/>
              <w:ind w:right="671"/>
              <w:jc w:val="right"/>
              <w:rPr>
                <w:sz w:val="21"/>
              </w:rPr>
            </w:pPr>
            <w:r>
              <w:rPr>
                <w:sz w:val="21"/>
              </w:rPr>
              <w:t>少量</w:t>
            </w:r>
          </w:p>
        </w:tc>
        <w:tc>
          <w:tcPr>
            <w:tcW w:w="1652" w:type="dxa"/>
          </w:tcPr>
          <w:p>
            <w:pPr>
              <w:pStyle w:val="TableParagraph"/>
              <w:spacing w:before="102"/>
              <w:ind w:left="607" w:right="171" w:hanging="421"/>
              <w:jc w:val="left"/>
              <w:rPr>
                <w:sz w:val="21"/>
              </w:rPr>
            </w:pPr>
            <w:r>
              <w:rPr>
                <w:sz w:val="21"/>
              </w:rPr>
              <w:t>环卫部门统一清运</w:t>
            </w:r>
          </w:p>
        </w:tc>
      </w:tr>
      <w:tr>
        <w:trPr>
          <w:trHeight w:val="833" w:hRule="exact"/>
        </w:trPr>
        <w:tc>
          <w:tcPr>
            <w:tcW w:w="562" w:type="dxa"/>
          </w:tcPr>
          <w:p>
            <w:pPr>
              <w:pStyle w:val="TableParagraph"/>
              <w:spacing w:line="272" w:lineRule="exact" w:before="130"/>
              <w:ind w:left="168" w:right="149"/>
              <w:jc w:val="left"/>
              <w:rPr>
                <w:sz w:val="21"/>
              </w:rPr>
            </w:pPr>
            <w:r>
              <w:rPr>
                <w:sz w:val="21"/>
              </w:rPr>
              <w:t>噪声</w:t>
            </w:r>
          </w:p>
        </w:tc>
        <w:tc>
          <w:tcPr>
            <w:tcW w:w="552" w:type="dxa"/>
          </w:tcPr>
          <w:p>
            <w:pPr>
              <w:pStyle w:val="TableParagraph"/>
              <w:spacing w:line="240" w:lineRule="exact"/>
              <w:ind w:left="160"/>
              <w:jc w:val="left"/>
              <w:rPr>
                <w:sz w:val="21"/>
              </w:rPr>
            </w:pPr>
            <w:r>
              <w:rPr>
                <w:w w:val="100"/>
                <w:sz w:val="21"/>
              </w:rPr>
              <w:t>营</w:t>
            </w:r>
          </w:p>
          <w:p>
            <w:pPr>
              <w:pStyle w:val="TableParagraph"/>
              <w:spacing w:line="272" w:lineRule="exact" w:before="27"/>
              <w:ind w:left="160" w:right="147"/>
              <w:jc w:val="left"/>
              <w:rPr>
                <w:sz w:val="21"/>
              </w:rPr>
            </w:pPr>
            <w:r>
              <w:rPr>
                <w:sz w:val="21"/>
              </w:rPr>
              <w:t>运期</w:t>
            </w:r>
          </w:p>
        </w:tc>
        <w:tc>
          <w:tcPr>
            <w:tcW w:w="1285" w:type="dxa"/>
          </w:tcPr>
          <w:p>
            <w:pPr>
              <w:pStyle w:val="TableParagraph"/>
              <w:spacing w:before="3"/>
              <w:jc w:val="left"/>
              <w:rPr>
                <w:b/>
                <w:sz w:val="18"/>
              </w:rPr>
            </w:pPr>
          </w:p>
          <w:p>
            <w:pPr>
              <w:pStyle w:val="TableParagraph"/>
              <w:spacing w:before="1"/>
              <w:ind w:left="88" w:right="91"/>
              <w:rPr>
                <w:sz w:val="21"/>
              </w:rPr>
            </w:pPr>
            <w:r>
              <w:rPr>
                <w:sz w:val="21"/>
              </w:rPr>
              <w:t>车辆噪声</w:t>
            </w:r>
          </w:p>
        </w:tc>
        <w:tc>
          <w:tcPr>
            <w:tcW w:w="1135" w:type="dxa"/>
          </w:tcPr>
          <w:p>
            <w:pPr>
              <w:pStyle w:val="TableParagraph"/>
              <w:spacing w:before="3"/>
              <w:jc w:val="left"/>
              <w:rPr>
                <w:b/>
                <w:sz w:val="18"/>
              </w:rPr>
            </w:pPr>
          </w:p>
          <w:p>
            <w:pPr>
              <w:pStyle w:val="TableParagraph"/>
              <w:spacing w:before="1"/>
              <w:ind w:left="79" w:right="79"/>
              <w:rPr>
                <w:sz w:val="21"/>
              </w:rPr>
            </w:pPr>
            <w:r>
              <w:rPr>
                <w:sz w:val="21"/>
              </w:rPr>
              <w:t>噪声</w:t>
            </w:r>
          </w:p>
        </w:tc>
        <w:tc>
          <w:tcPr>
            <w:tcW w:w="1608" w:type="dxa"/>
          </w:tcPr>
          <w:p>
            <w:pPr>
              <w:pStyle w:val="TableParagraph"/>
              <w:spacing w:line="240" w:lineRule="exact"/>
              <w:ind w:left="2" w:right="5"/>
              <w:rPr>
                <w:sz w:val="21"/>
              </w:rPr>
            </w:pPr>
            <w:r>
              <w:rPr>
                <w:sz w:val="21"/>
              </w:rPr>
              <w:t>控制车速、设置</w:t>
            </w:r>
          </w:p>
          <w:p>
            <w:pPr>
              <w:pStyle w:val="TableParagraph"/>
              <w:spacing w:line="274" w:lineRule="exact"/>
              <w:ind w:left="5" w:right="5"/>
              <w:rPr>
                <w:sz w:val="21"/>
              </w:rPr>
            </w:pPr>
            <w:r>
              <w:rPr>
                <w:sz w:val="21"/>
              </w:rPr>
              <w:t>限速标志</w:t>
            </w:r>
          </w:p>
        </w:tc>
        <w:tc>
          <w:tcPr>
            <w:tcW w:w="3433" w:type="dxa"/>
            <w:gridSpan w:val="2"/>
          </w:tcPr>
          <w:p>
            <w:pPr>
              <w:pStyle w:val="TableParagraph"/>
              <w:spacing w:line="240" w:lineRule="exact"/>
              <w:ind w:left="115" w:hanging="15"/>
              <w:jc w:val="left"/>
              <w:rPr>
                <w:sz w:val="21"/>
              </w:rPr>
            </w:pPr>
            <w:r>
              <w:rPr>
                <w:sz w:val="21"/>
              </w:rPr>
              <w:t>道路两侧区域达到《声环境质 量标</w:t>
            </w:r>
          </w:p>
          <w:p>
            <w:pPr>
              <w:pStyle w:val="TableParagraph"/>
              <w:spacing w:line="272" w:lineRule="exact" w:before="27"/>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pacing w:val="-2"/>
                <w:sz w:val="21"/>
              </w:rPr>
              <w:t>类、</w:t>
            </w:r>
            <w:r>
              <w:rPr>
                <w:rFonts w:ascii="Times New Roman" w:eastAsia="Times New Roman"/>
                <w:sz w:val="21"/>
              </w:rPr>
              <w:t>4a </w:t>
            </w:r>
            <w:r>
              <w:rPr>
                <w:sz w:val="21"/>
              </w:rPr>
              <w:t>区标准要求</w:t>
            </w:r>
          </w:p>
        </w:tc>
      </w:tr>
      <w:tr>
        <w:trPr>
          <w:trHeight w:val="7031" w:hRule="exact"/>
        </w:trPr>
        <w:tc>
          <w:tcPr>
            <w:tcW w:w="8574" w:type="dxa"/>
            <w:gridSpan w:val="7"/>
            <w:tcBorders>
              <w:bottom w:val="single" w:sz="4" w:space="0" w:color="000000"/>
            </w:tcBorders>
          </w:tcPr>
          <w:p>
            <w:pPr>
              <w:pStyle w:val="TableParagraph"/>
              <w:spacing w:line="274" w:lineRule="exact"/>
              <w:ind w:left="100"/>
              <w:jc w:val="left"/>
              <w:rPr>
                <w:b/>
                <w:sz w:val="24"/>
              </w:rPr>
            </w:pPr>
            <w:r>
              <w:rPr>
                <w:b/>
                <w:w w:val="95"/>
                <w:sz w:val="24"/>
              </w:rPr>
              <w:t>主要生态影响：</w:t>
            </w:r>
          </w:p>
          <w:p>
            <w:pPr>
              <w:pStyle w:val="TableParagraph"/>
              <w:spacing w:line="352" w:lineRule="auto" w:before="152"/>
              <w:ind w:left="100" w:firstLine="479"/>
              <w:jc w:val="left"/>
              <w:rPr>
                <w:sz w:val="24"/>
              </w:rPr>
            </w:pPr>
            <w:r>
              <w:rPr>
                <w:spacing w:val="2"/>
                <w:sz w:val="24"/>
              </w:rPr>
              <w:t>（</w:t>
            </w:r>
            <w:r>
              <w:rPr>
                <w:rFonts w:ascii="Times New Roman" w:eastAsia="Times New Roman"/>
                <w:spacing w:val="2"/>
                <w:sz w:val="24"/>
              </w:rPr>
              <w:t>1</w:t>
            </w:r>
            <w:r>
              <w:rPr>
                <w:spacing w:val="2"/>
                <w:sz w:val="24"/>
              </w:rPr>
              <w:t>）</w:t>
            </w:r>
            <w:r>
              <w:rPr>
                <w:sz w:val="24"/>
              </w:rPr>
              <w:t>项目土石方的开挖和路基填筑等工序使沿线的植被遭到破坏，使地表</w:t>
            </w:r>
            <w:r>
              <w:rPr>
                <w:spacing w:val="-13"/>
                <w:sz w:val="24"/>
              </w:rPr>
              <w:t>裸露，从而使沿线地区的局部生态结构发生一定的变化，随着这种微地貌的改变，</w:t>
            </w:r>
            <w:r>
              <w:rPr>
                <w:spacing w:val="-15"/>
                <w:sz w:val="24"/>
              </w:rPr>
              <w:t>在降雨集中季节雨水冲刷作用下，不可避免地造成一定程度的水土流失。施工期</w:t>
            </w:r>
            <w:r>
              <w:rPr>
                <w:spacing w:val="-14"/>
                <w:sz w:val="24"/>
              </w:rPr>
              <w:t>水土流失是暂时的，随着主体工程竣工、植被的逐渐恢复，因工程施工而引起的水土流失会逐渐减少。</w:t>
            </w:r>
          </w:p>
          <w:p>
            <w:pPr>
              <w:pStyle w:val="TableParagraph"/>
              <w:spacing w:line="338" w:lineRule="auto" w:before="161"/>
              <w:ind w:left="100" w:firstLine="482"/>
              <w:jc w:val="left"/>
              <w:rPr>
                <w:b/>
                <w:sz w:val="24"/>
              </w:rPr>
            </w:pPr>
            <w:r>
              <w:rPr>
                <w:b/>
                <w:sz w:val="24"/>
              </w:rPr>
              <w:t>（</w:t>
            </w:r>
            <w:r>
              <w:rPr>
                <w:rFonts w:ascii="Times New Roman" w:eastAsia="Times New Roman"/>
                <w:b/>
                <w:sz w:val="24"/>
              </w:rPr>
              <w:t>2</w:t>
            </w:r>
            <w:r>
              <w:rPr>
                <w:b/>
                <w:sz w:val="24"/>
              </w:rPr>
              <w:t>）道路建设时开挖、填筑等施工行为，在一定程度上将破坏所经区域的</w:t>
            </w:r>
            <w:r>
              <w:rPr>
                <w:b/>
                <w:w w:val="95"/>
                <w:sz w:val="24"/>
              </w:rPr>
              <w:t>原有自然景观。</w:t>
            </w:r>
          </w:p>
          <w:p>
            <w:pPr>
              <w:pStyle w:val="TableParagraph"/>
              <w:spacing w:line="357" w:lineRule="auto" w:before="53"/>
              <w:ind w:left="100" w:right="100" w:firstLine="479"/>
              <w:jc w:val="both"/>
              <w:rPr>
                <w:sz w:val="24"/>
              </w:rPr>
            </w:pPr>
            <w:r>
              <w:rPr>
                <w:spacing w:val="-3"/>
                <w:sz w:val="24"/>
              </w:rPr>
              <w:t>本项目为市政道路建设项目，施工期对原有地表植被产生了扰动，为减少项</w:t>
            </w:r>
            <w:r>
              <w:rPr>
                <w:spacing w:val="-6"/>
                <w:sz w:val="24"/>
              </w:rPr>
              <w:t>目对生态环境造成的影响，一方面，项目方在施工期采取修建施工场地围墙、增</w:t>
            </w:r>
            <w:r>
              <w:rPr>
                <w:spacing w:val="-8"/>
                <w:sz w:val="24"/>
              </w:rPr>
              <w:t>设排水沟、及时路面硬化及绿化工作等适当的水土保持措施，对水土流失进行了</w:t>
            </w:r>
            <w:r>
              <w:rPr>
                <w:spacing w:val="-10"/>
                <w:sz w:val="24"/>
              </w:rPr>
              <w:t>有效的控制；另一方面，项目完成后，随着迹地恢复的实施，生态环境正逐步恢复，生态影响较小。</w:t>
            </w:r>
          </w:p>
        </w:tc>
      </w:tr>
    </w:tbl>
    <w:p>
      <w:pPr>
        <w:spacing w:after="0" w:line="357" w:lineRule="auto"/>
        <w:jc w:val="both"/>
        <w:rPr>
          <w:sz w:val="24"/>
        </w:rPr>
        <w:sectPr>
          <w:pgSz w:w="11910" w:h="16850"/>
          <w:pgMar w:header="0" w:footer="1141" w:top="1400" w:bottom="1400" w:left="1560" w:right="1540"/>
        </w:sectPr>
      </w:pPr>
    </w:p>
    <w:p>
      <w:pPr>
        <w:tabs>
          <w:tab w:pos="7448" w:val="left" w:leader="none"/>
        </w:tabs>
        <w:spacing w:line="382" w:lineRule="exact" w:before="0"/>
        <w:ind w:left="218" w:right="0" w:firstLine="0"/>
        <w:jc w:val="left"/>
        <w:rPr>
          <w:b/>
          <w:sz w:val="30"/>
        </w:rPr>
      </w:pPr>
      <w:r>
        <w:rPr/>
        <w:pict>
          <v:group style="position:absolute;margin-left:84.014pt;margin-top:101.169975pt;width:427.55pt;height:654.950pt;mso-position-horizontal-relative:page;mso-position-vertical-relative:page;z-index:-197752" coordorigin="1680,2023" coordsize="8551,13099">
            <v:line style="position:absolute" from="1685,2028" to="1695,2028" stroked="true" strokeweight=".48pt" strokecolor="#000000">
              <v:stroke dashstyle="solid"/>
            </v:line>
            <v:line style="position:absolute" from="1685,2028" to="1695,2028" stroked="true" strokeweight=".48pt" strokecolor="#000000">
              <v:stroke dashstyle="solid"/>
            </v:line>
            <v:line style="position:absolute" from="1695,2028" to="10216,2028" stroked="true" strokeweight=".48pt" strokecolor="#000000">
              <v:stroke dashstyle="solid"/>
            </v:line>
            <v:line style="position:absolute" from="10216,2028" to="10226,2028" stroked="true" strokeweight=".48pt" strokecolor="#000000">
              <v:stroke dashstyle="solid"/>
            </v:line>
            <v:line style="position:absolute" from="10216,2028" to="10226,2028" stroked="true" strokeweight=".48pt" strokecolor="#000000">
              <v:stroke dashstyle="solid"/>
            </v:line>
            <v:line style="position:absolute" from="1690,2033" to="1690,15117" stroked="true" strokeweight=".48pt" strokecolor="#000000">
              <v:stroke dashstyle="solid"/>
            </v:line>
            <v:line style="position:absolute" from="1695,15112" to="10216,15112" stroked="true" strokeweight=".48004pt" strokecolor="#000000">
              <v:stroke dashstyle="solid"/>
            </v:line>
            <v:line style="position:absolute" from="10221,2033" to="10221,15117" stroked="true" strokeweight=".47998pt" strokecolor="#000000">
              <v:stroke dashstyle="solid"/>
            </v:line>
            <w10:wrap type="none"/>
          </v:group>
        </w:pict>
      </w:r>
      <w:r>
        <w:rPr>
          <w:b/>
          <w:sz w:val="30"/>
        </w:rPr>
        <w:t>环境影响分析</w:t>
        <w:tab/>
      </w:r>
      <w:r>
        <w:rPr>
          <w:b/>
          <w:w w:val="95"/>
          <w:sz w:val="30"/>
        </w:rPr>
        <w:t>（表七）</w:t>
      </w:r>
    </w:p>
    <w:p>
      <w:pPr>
        <w:pStyle w:val="Heading3"/>
        <w:spacing w:before="210"/>
      </w:pPr>
      <w:r>
        <w:rPr>
          <w:w w:val="95"/>
        </w:rPr>
        <w:t>一、施工期环境影响分析</w:t>
      </w:r>
    </w:p>
    <w:p>
      <w:pPr>
        <w:pStyle w:val="BodyText"/>
        <w:spacing w:line="357" w:lineRule="auto" w:before="153"/>
        <w:ind w:left="218" w:right="130" w:firstLine="482"/>
      </w:pPr>
      <w:r>
        <w:rPr/>
        <w:t>项目施工期的环境影响主要包括施工废水、废气和噪声对水质、环境空气和声环境的影响，其影响主要集中在施工期间，施工结束后，这些影响将会消失， 目前本项目正在施工，所以施工期还存在一定的环境影响。</w:t>
      </w:r>
    </w:p>
    <w:p>
      <w:pPr>
        <w:pStyle w:val="Heading3"/>
        <w:spacing w:before="33"/>
      </w:pPr>
      <w:r>
        <w:rPr>
          <w:w w:val="95"/>
        </w:rPr>
        <w:t>1、大气环境环境影响分析</w:t>
      </w:r>
      <w:r>
        <w:rPr>
          <w:w w:val="99"/>
        </w:rPr>
        <w:t> </w:t>
      </w:r>
    </w:p>
    <w:p>
      <w:pPr>
        <w:pStyle w:val="BodyText"/>
        <w:spacing w:line="357" w:lineRule="auto" w:before="153"/>
        <w:ind w:left="218" w:right="133" w:firstLine="479"/>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送施工材料、设施的车辆以及内燃机等施工机械在运行时产生的汽车尾气；③铺设路面过程中产生的沥青烟。</w:t>
      </w:r>
    </w:p>
    <w:p>
      <w:pPr>
        <w:pStyle w:val="BodyText"/>
        <w:spacing w:before="33"/>
        <w:ind w:left="698"/>
      </w:pPr>
      <w:r>
        <w:rPr/>
        <w:t>（</w:t>
      </w:r>
      <w:r>
        <w:rPr>
          <w:rFonts w:ascii="Times New Roman" w:eastAsia="Times New Roman"/>
        </w:rPr>
        <w:t>1</w:t>
      </w:r>
      <w:r>
        <w:rPr/>
        <w:t>）施工扬尘</w:t>
      </w:r>
    </w:p>
    <w:p>
      <w:pPr>
        <w:pStyle w:val="BodyText"/>
        <w:spacing w:line="355" w:lineRule="auto" w:before="135"/>
        <w:ind w:left="218" w:right="133" w:firstLine="479"/>
      </w:pPr>
      <w:r>
        <w:rPr/>
        <w:t>施工产生的扬尘主要来源于挖方、填方、搬运泥土和水泥、石灰、沙石等材料的装卸、运输过程中产生的施工扬尘。</w:t>
      </w:r>
    </w:p>
    <w:p>
      <w:pPr>
        <w:pStyle w:val="BodyText"/>
        <w:spacing w:line="348" w:lineRule="auto" w:before="38"/>
        <w:ind w:left="218" w:right="231" w:firstLine="479"/>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10"/>
        </w:rPr>
        <w:t> </w:t>
      </w:r>
      <w:r>
        <w:rPr>
          <w:spacing w:val="-11"/>
        </w:rPr>
        <w:t>处浓度为 </w:t>
      </w:r>
      <w:r>
        <w:rPr>
          <w:rFonts w:ascii="Times New Roman" w:eastAsia="Times New Roman"/>
        </w:rPr>
        <w:t>8.849mg/m</w:t>
      </w:r>
      <w:r>
        <w:rPr>
          <w:rFonts w:ascii="Times New Roman" w:eastAsia="Times New Roman"/>
          <w:position w:val="11"/>
          <w:sz w:val="16"/>
        </w:rPr>
        <w:t>3</w:t>
      </w:r>
      <w:r>
        <w:rPr>
          <w:spacing w:val="-10"/>
        </w:rPr>
        <w:t>；下风向 </w:t>
      </w:r>
      <w:r>
        <w:rPr>
          <w:rFonts w:ascii="Times New Roman" w:eastAsia="Times New Roman"/>
        </w:rPr>
        <w:t>100m</w:t>
      </w:r>
      <w:r>
        <w:rPr>
          <w:rFonts w:ascii="Times New Roman" w:eastAsia="Times New Roman"/>
          <w:spacing w:val="10"/>
        </w:rPr>
        <w:t> </w:t>
      </w:r>
      <w:r>
        <w:rPr>
          <w:spacing w:val="-11"/>
        </w:rPr>
        <w:t>处浓度为 </w:t>
      </w:r>
      <w:r>
        <w:rPr>
          <w:rFonts w:ascii="Times New Roman" w:eastAsia="Times New Roman"/>
        </w:rPr>
        <w:t>1.703mg/m</w:t>
      </w:r>
      <w:r>
        <w:rPr>
          <w:rFonts w:ascii="Times New Roman" w:eastAsia="Times New Roman"/>
          <w:position w:val="11"/>
          <w:sz w:val="16"/>
        </w:rPr>
        <w:t>3</w:t>
      </w:r>
      <w:r>
        <w:rPr/>
        <w:t>； </w:t>
      </w:r>
      <w:r>
        <w:rPr>
          <w:spacing w:val="-12"/>
        </w:rPr>
        <w:t>下风向 </w:t>
      </w:r>
      <w:r>
        <w:rPr>
          <w:rFonts w:ascii="Times New Roman" w:eastAsia="Times New Roman"/>
        </w:rPr>
        <w:t>200m</w:t>
      </w:r>
      <w:r>
        <w:rPr>
          <w:rFonts w:ascii="Times New Roman" w:eastAsia="Times New Roman"/>
          <w:spacing w:val="14"/>
        </w:rPr>
        <w:t> </w:t>
      </w:r>
      <w:r>
        <w:rPr>
          <w:spacing w:val="-3"/>
        </w:rPr>
        <w:t>处符合环境空气质量二级标准日均值 </w:t>
      </w:r>
      <w:r>
        <w:rPr>
          <w:rFonts w:ascii="Times New Roman" w:eastAsia="Times New Roman"/>
        </w:rPr>
        <w:t>0.15mg/m</w:t>
      </w:r>
      <w:r>
        <w:rPr>
          <w:rFonts w:ascii="Times New Roman" w:eastAsia="Times New Roman"/>
          <w:position w:val="11"/>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工过程中，施工方应对施工道路及场地采取洒水抑尘措施，施工车辆采取篷布加</w:t>
      </w:r>
      <w:r>
        <w:rPr>
          <w:spacing w:val="-11"/>
        </w:rPr>
        <w:t>盖措施，施工车辆运输路线选择尽量避绕人口密集区、学校、医院等敏感点，工程施工扬尘对周围环境不会造成太大的影响。</w:t>
      </w:r>
    </w:p>
    <w:p>
      <w:pPr>
        <w:pStyle w:val="BodyText"/>
        <w:spacing w:line="357" w:lineRule="auto" w:before="45"/>
        <w:ind w:left="218" w:right="232" w:firstLine="479"/>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5"/>
        <w:ind w:left="218" w:right="232" w:firstLine="479"/>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3"/>
      </w:pPr>
      <w:r>
        <w:rPr>
          <w:w w:val="95"/>
        </w:rPr>
        <w:t>根据《四川省人民政府办公厅关于加强灰霾污染防治的通知》（川办发</w:t>
      </w:r>
    </w:p>
    <w:p>
      <w:pPr>
        <w:spacing w:before="153"/>
        <w:ind w:left="218" w:right="0" w:firstLine="0"/>
        <w:jc w:val="left"/>
        <w:rPr>
          <w:b/>
          <w:sz w:val="24"/>
        </w:rPr>
      </w:pPr>
      <w:r>
        <w:rPr>
          <w:rFonts w:ascii="Times New Roman" w:eastAsia="Times New Roman"/>
          <w:b/>
          <w:sz w:val="24"/>
        </w:rPr>
        <w:t>[2013]32 </w:t>
      </w:r>
      <w:r>
        <w:rPr>
          <w:b/>
          <w:sz w:val="24"/>
        </w:rPr>
        <w:t>号）及《四川省灰霾污染防治实施方案》中的要求加强施工场地扬尘的</w:t>
      </w:r>
    </w:p>
    <w:p>
      <w:pPr>
        <w:spacing w:after="0"/>
        <w:jc w:val="left"/>
        <w:rPr>
          <w:sz w:val="24"/>
        </w:rPr>
        <w:sectPr>
          <w:pgSz w:w="11910" w:h="16850"/>
          <w:pgMar w:header="0" w:footer="1141" w:top="1400" w:bottom="1400" w:left="1580" w:right="1560"/>
        </w:sectPr>
      </w:pPr>
    </w:p>
    <w:p>
      <w:pPr>
        <w:spacing w:line="352" w:lineRule="auto" w:before="9"/>
        <w:ind w:left="218" w:right="116" w:firstLine="0"/>
        <w:jc w:val="left"/>
        <w:rPr>
          <w:b/>
          <w:sz w:val="24"/>
        </w:rPr>
      </w:pPr>
      <w:r>
        <w:rPr/>
        <w:pict>
          <v:group style="position:absolute;margin-left:84.253998pt;margin-top:71.749977pt;width:427.1pt;height:698.7pt;mso-position-horizontal-relative:page;mso-position-vertical-relative:page;z-index:-19772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b/>
          <w:spacing w:val="-4"/>
          <w:sz w:val="24"/>
        </w:rPr>
        <w:t>控制，扬尘整治的</w:t>
      </w:r>
      <w:r>
        <w:rPr>
          <w:rFonts w:ascii="Times New Roman" w:hAnsi="Times New Roman" w:eastAsia="Times New Roman"/>
          <w:b/>
          <w:sz w:val="24"/>
        </w:rPr>
        <w:t>“</w:t>
      </w:r>
      <w:r>
        <w:rPr>
          <w:b/>
          <w:sz w:val="24"/>
        </w:rPr>
        <w:t>六必须</w:t>
      </w:r>
      <w:r>
        <w:rPr>
          <w:rFonts w:ascii="Times New Roman" w:hAnsi="Times New Roman" w:eastAsia="Times New Roman"/>
          <w:b/>
          <w:spacing w:val="-3"/>
          <w:sz w:val="24"/>
        </w:rPr>
        <w:t>”</w:t>
      </w:r>
      <w:r>
        <w:rPr>
          <w:b/>
          <w:spacing w:val="-17"/>
          <w:sz w:val="24"/>
        </w:rPr>
        <w:t>、</w:t>
      </w:r>
      <w:r>
        <w:rPr>
          <w:rFonts w:ascii="Times New Roman" w:hAnsi="Times New Roman" w:eastAsia="Times New Roman"/>
          <w:b/>
          <w:spacing w:val="-3"/>
          <w:sz w:val="24"/>
        </w:rPr>
        <w:t>“</w:t>
      </w:r>
      <w:r>
        <w:rPr>
          <w:b/>
          <w:sz w:val="24"/>
        </w:rPr>
        <w:t>六不准</w:t>
      </w:r>
      <w:r>
        <w:rPr>
          <w:rFonts w:ascii="Times New Roman" w:hAnsi="Times New Roman" w:eastAsia="Times New Roman"/>
          <w:b/>
          <w:spacing w:val="-10"/>
          <w:sz w:val="24"/>
        </w:rPr>
        <w:t>”</w:t>
      </w:r>
      <w:r>
        <w:rPr>
          <w:b/>
          <w:spacing w:val="-8"/>
          <w:sz w:val="24"/>
        </w:rPr>
        <w:t>，即：必须打围作业、必须硬化道路、必须设置冲洗设施、必须湿法作业、必须配齐保洁人员、必须定时清扫施工现场； </w:t>
      </w:r>
      <w:r>
        <w:rPr>
          <w:b/>
          <w:spacing w:val="-13"/>
          <w:sz w:val="24"/>
        </w:rPr>
        <w:t>不准车辆带泥出门，不准运渣车辆冒顶装载、不准高空抛撒建渣、不准现场搅拌混凝土、不准场地积水、不准现场焚烧废弃物。要加强对建设工地的监督检查， </w:t>
      </w:r>
      <w:r>
        <w:rPr>
          <w:b/>
          <w:spacing w:val="-13"/>
          <w:w w:val="95"/>
          <w:sz w:val="24"/>
        </w:rPr>
        <w:t>督促建设单位落实降尘、压尘和抑尘措施。</w:t>
      </w:r>
    </w:p>
    <w:p>
      <w:pPr>
        <w:pStyle w:val="BodyText"/>
        <w:spacing w:before="41"/>
        <w:ind w:left="698"/>
      </w:pPr>
      <w:r>
        <w:rPr/>
        <w:t>为减少施工扬尘对周边环境的影响，施工单位在施工期间采取了以下措施：</w:t>
      </w:r>
    </w:p>
    <w:p>
      <w:pPr>
        <w:pStyle w:val="BodyText"/>
        <w:spacing w:before="151"/>
        <w:ind w:left="698"/>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5"/>
        <w:ind w:left="218" w:right="108" w:firstLine="479"/>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3"/>
        <w:ind w:left="218" w:right="112" w:firstLine="479"/>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6"/>
        <w:ind w:left="218" w:right="132" w:firstLine="479"/>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4"/>
        <w:ind w:left="698"/>
      </w:pPr>
      <w:r>
        <w:rPr/>
        <w:t>⑤使用商品沥青，不在现场熬制沥青；</w:t>
      </w:r>
    </w:p>
    <w:p>
      <w:pPr>
        <w:pStyle w:val="BodyText"/>
        <w:spacing w:line="355" w:lineRule="auto" w:before="154"/>
        <w:ind w:left="218" w:right="133" w:firstLine="479"/>
      </w:pPr>
      <w:r>
        <w:rPr/>
        <w:t>⑥工程完毕后需及时清理施工现场，及时清运施工废弃物，绝对不在施工现场暂存；</w:t>
      </w:r>
    </w:p>
    <w:p>
      <w:pPr>
        <w:pStyle w:val="BodyText"/>
        <w:spacing w:line="355" w:lineRule="auto" w:before="39"/>
        <w:ind w:left="218" w:right="133" w:firstLine="479"/>
      </w:pPr>
      <w:r>
        <w:rPr/>
        <w:t>⑦采取封闭施工、湿法施工等方式减少扬尘，封闭运输，按照指定路线和地点处置弃土、弃渣。</w:t>
      </w:r>
    </w:p>
    <w:p>
      <w:pPr>
        <w:pStyle w:val="BodyText"/>
        <w:spacing w:before="39"/>
        <w:ind w:left="698"/>
      </w:pPr>
      <w:r>
        <w:rPr/>
        <w:t>（</w:t>
      </w:r>
      <w:r>
        <w:rPr>
          <w:rFonts w:ascii="Times New Roman" w:eastAsia="Times New Roman"/>
        </w:rPr>
        <w:t>2</w:t>
      </w:r>
      <w:r>
        <w:rPr/>
        <w:t>）车辆及施工机械尾气</w:t>
      </w:r>
    </w:p>
    <w:p>
      <w:pPr>
        <w:pStyle w:val="BodyText"/>
        <w:spacing w:line="357" w:lineRule="auto" w:before="133"/>
        <w:ind w:left="218" w:right="147" w:firstLine="479"/>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28" w:lineRule="auto" w:before="3"/>
        <w:ind w:left="218" w:right="224"/>
      </w:pPr>
      <w:r>
        <w:rPr>
          <w:rFonts w:ascii="Times New Roman" w:eastAsia="Times New Roman"/>
        </w:rPr>
        <w:t>NO</w:t>
      </w:r>
      <w:r>
        <w:rPr>
          <w:rFonts w:ascii="Times New Roman" w:eastAsia="Times New Roman"/>
          <w:position w:val="-2"/>
          <w:sz w:val="16"/>
        </w:rPr>
        <w:t>2 </w:t>
      </w:r>
      <w:r>
        <w:rPr>
          <w:spacing w:val="-8"/>
        </w:rPr>
        <w:t>等污染物。运输车辆的废气是沿交通路线沿程排放，施工机械的废气基本是以点源形式排放。</w:t>
      </w:r>
    </w:p>
    <w:p>
      <w:pPr>
        <w:pStyle w:val="BodyText"/>
        <w:spacing w:line="357" w:lineRule="auto" w:before="65"/>
        <w:ind w:left="218" w:right="232" w:firstLine="479"/>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spacing w:after="0" w:line="357" w:lineRule="auto"/>
        <w:jc w:val="both"/>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6090"/>
      </w:tblGrid>
      <w:tr>
        <w:trPr>
          <w:trHeight w:val="13478" w:hRule="exact"/>
        </w:trPr>
        <w:tc>
          <w:tcPr>
            <w:tcW w:w="8531" w:type="dxa"/>
            <w:gridSpan w:val="3"/>
          </w:tcPr>
          <w:p>
            <w:pPr>
              <w:pStyle w:val="TableParagraph"/>
              <w:spacing w:line="292" w:lineRule="exact"/>
              <w:ind w:left="583"/>
              <w:jc w:val="left"/>
              <w:rPr>
                <w:sz w:val="24"/>
              </w:rPr>
            </w:pPr>
            <w:r>
              <w:rPr>
                <w:sz w:val="24"/>
              </w:rPr>
              <w:t>（</w:t>
            </w:r>
            <w:r>
              <w:rPr>
                <w:rFonts w:ascii="Times New Roman" w:eastAsia="Times New Roman"/>
                <w:sz w:val="24"/>
              </w:rPr>
              <w:t>3</w:t>
            </w:r>
            <w:r>
              <w:rPr>
                <w:sz w:val="24"/>
              </w:rPr>
              <w:t>）沥青烟</w:t>
            </w:r>
          </w:p>
          <w:p>
            <w:pPr>
              <w:pStyle w:val="TableParagraph"/>
              <w:spacing w:line="345" w:lineRule="auto" w:before="135"/>
              <w:ind w:left="103" w:right="72" w:firstLine="479"/>
              <w:jc w:val="both"/>
              <w:rPr>
                <w:sz w:val="24"/>
              </w:rPr>
            </w:pPr>
            <w:r>
              <w:rPr>
                <w:sz w:val="24"/>
              </w:rPr>
              <w:t>本项目路面为沥青混凝土路面，沥青烟气中主要有毒有害物质是 </w:t>
            </w:r>
            <w:r>
              <w:rPr>
                <w:rFonts w:ascii="Times New Roman" w:eastAsia="Times New Roman"/>
                <w:sz w:val="24"/>
              </w:rPr>
              <w:t>THC</w:t>
            </w:r>
            <w:r>
              <w:rPr>
                <w:sz w:val="24"/>
              </w:rPr>
              <w:t>、酚和苯并</w:t>
            </w:r>
            <w:r>
              <w:rPr>
                <w:rFonts w:ascii="Times New Roman" w:eastAsia="Times New Roman"/>
                <w:sz w:val="24"/>
              </w:rPr>
              <w:t>[a]</w:t>
            </w:r>
            <w:r>
              <w:rPr>
                <w:spacing w:val="-5"/>
                <w:sz w:val="24"/>
              </w:rPr>
              <w:t>芘，沥青烟气污染影响范围为下风向 </w:t>
            </w:r>
            <w:r>
              <w:rPr>
                <w:rFonts w:ascii="Times New Roman" w:eastAsia="Times New Roman"/>
                <w:sz w:val="24"/>
              </w:rPr>
              <w:t>100m</w:t>
            </w:r>
            <w:r>
              <w:rPr>
                <w:sz w:val="24"/>
              </w:rPr>
              <w:t>。本项目不设沥青拌和站， </w:t>
            </w:r>
            <w:r>
              <w:rPr>
                <w:spacing w:val="-5"/>
                <w:sz w:val="24"/>
              </w:rPr>
              <w:t>项目所需的沥青均在当地购买商品沥青，沥青在专业搅拌站制成成品后，由专用</w:t>
            </w:r>
            <w:r>
              <w:rPr>
                <w:spacing w:val="-9"/>
                <w:sz w:val="24"/>
              </w:rPr>
              <w:t>运输车运至现场。</w:t>
            </w:r>
            <w:r>
              <w:rPr>
                <w:b/>
                <w:spacing w:val="-8"/>
                <w:sz w:val="24"/>
              </w:rPr>
              <w:t>采取了，沥青均采用罐装沥青专用车辆装运，以防止沿程撒落</w:t>
            </w:r>
            <w:r>
              <w:rPr>
                <w:b/>
                <w:spacing w:val="28"/>
                <w:w w:val="95"/>
                <w:sz w:val="24"/>
              </w:rPr>
              <w:t>污染环境。</w:t>
            </w:r>
            <w:r>
              <w:rPr>
                <w:spacing w:val="28"/>
                <w:w w:val="95"/>
                <w:sz w:val="24"/>
              </w:rPr>
              <w:t>同时，项目施工方严格执行了《公路沥青路的施工技术规范</w:t>
            </w:r>
          </w:p>
          <w:p>
            <w:pPr>
              <w:pStyle w:val="TableParagraph"/>
              <w:spacing w:line="338" w:lineRule="auto" w:before="45"/>
              <w:ind w:left="103" w:right="-2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0"/>
                <w:sz w:val="24"/>
              </w:rPr>
              <w:t>芘的产生和污染危害，因此沥青烟气的排放浓度较低，对周围环境影响较小。</w:t>
            </w:r>
          </w:p>
          <w:p>
            <w:pPr>
              <w:pStyle w:val="TableParagraph"/>
              <w:spacing w:line="333" w:lineRule="auto" w:before="55"/>
              <w:ind w:left="103" w:right="105" w:firstLine="482"/>
              <w:jc w:val="both"/>
              <w:rPr>
                <w:b/>
                <w:sz w:val="24"/>
              </w:rPr>
            </w:pPr>
            <w:r>
              <w:rPr>
                <w:b/>
                <w:spacing w:val="-10"/>
                <w:w w:val="95"/>
                <w:sz w:val="24"/>
              </w:rPr>
              <w:t>综上，项目施工期会对施工场地周围的环境空气质量造成一定影响，但这些  </w:t>
            </w:r>
            <w:r>
              <w:rPr>
                <w:b/>
                <w:spacing w:val="-17"/>
                <w:w w:val="95"/>
                <w:sz w:val="24"/>
              </w:rPr>
              <w:t>影响随着施工期的结束而结束。因此，项目施工期不会造成项目所在地环境空气  质量明显恶化。</w:t>
            </w:r>
          </w:p>
          <w:p>
            <w:pPr>
              <w:pStyle w:val="TableParagraph"/>
              <w:spacing w:before="28"/>
              <w:ind w:left="585"/>
              <w:jc w:val="left"/>
              <w:rPr>
                <w:b/>
                <w:sz w:val="24"/>
              </w:rPr>
            </w:pPr>
            <w:r>
              <w:rPr>
                <w:b/>
                <w:w w:val="95"/>
                <w:sz w:val="24"/>
              </w:rPr>
              <w:t>2、噪声环境影响分析</w:t>
            </w:r>
            <w:r>
              <w:rPr>
                <w:b/>
                <w:w w:val="99"/>
                <w:sz w:val="24"/>
              </w:rPr>
              <w:t> </w:t>
            </w:r>
          </w:p>
          <w:p>
            <w:pPr>
              <w:pStyle w:val="TableParagraph"/>
              <w:spacing w:before="150"/>
              <w:ind w:left="583"/>
              <w:jc w:val="left"/>
              <w:rPr>
                <w:sz w:val="24"/>
              </w:rPr>
            </w:pPr>
            <w:r>
              <w:rPr>
                <w:sz w:val="24"/>
              </w:rPr>
              <w:t>本项目施工期间噪声主要包括施工机械噪声和运输车辆噪声。</w:t>
            </w:r>
          </w:p>
          <w:p>
            <w:pPr>
              <w:pStyle w:val="TableParagraph"/>
              <w:spacing w:before="153"/>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5" w:lineRule="auto" w:before="133"/>
              <w:ind w:left="103" w:right="101" w:firstLine="479"/>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1" w:val="left" w:leader="none"/>
              </w:tabs>
              <w:spacing w:line="427" w:lineRule="exact" w:before="57"/>
              <w:ind w:right="18"/>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0"/>
                <w:position w:val="16"/>
                <w:sz w:val="25"/>
              </w:rPr>
              <w:t>R</w:t>
            </w:r>
            <w:r>
              <w:rPr>
                <w:i/>
                <w:spacing w:val="10"/>
                <w:position w:val="10"/>
                <w:sz w:val="14"/>
              </w:rPr>
              <w:t>i  </w:t>
            </w:r>
            <w:r>
              <w:rPr>
                <w:rFonts w:ascii="Symbol" w:hAnsi="Symbol"/>
                <w:sz w:val="24"/>
              </w:rPr>
              <w:t></w:t>
            </w:r>
            <w:r>
              <w:rPr>
                <w:rFonts w:ascii="Times New Roman" w:hAnsi="Times New Roman"/>
                <w:spacing w:val="17"/>
                <w:sz w:val="24"/>
              </w:rPr>
              <w:t> </w:t>
            </w:r>
            <w:r>
              <w:rPr>
                <w:rFonts w:ascii="Symbol" w:hAnsi="Symbol"/>
                <w:sz w:val="24"/>
              </w:rPr>
              <w:t></w:t>
            </w:r>
            <w:r>
              <w:rPr>
                <w:i/>
                <w:sz w:val="25"/>
              </w:rPr>
              <w:t>L</w:t>
            </w:r>
          </w:p>
          <w:p>
            <w:pPr>
              <w:pStyle w:val="TableParagraph"/>
              <w:tabs>
                <w:tab w:pos="607" w:val="left" w:leader="none"/>
                <w:tab w:pos="1648" w:val="left" w:leader="none"/>
              </w:tabs>
              <w:spacing w:line="180" w:lineRule="exact"/>
              <w:ind w:right="641"/>
              <w:rPr>
                <w:i/>
                <w:sz w:val="25"/>
              </w:rPr>
            </w:pPr>
            <w:r>
              <w:rPr>
                <w:i/>
                <w:sz w:val="14"/>
              </w:rPr>
              <w:t>i</w:t>
              <w:tab/>
            </w:r>
            <w:r>
              <w:rPr>
                <w:sz w:val="14"/>
              </w:rPr>
              <w:t>0</w:t>
              <w:tab/>
            </w:r>
            <w:r>
              <w:rPr>
                <w:i/>
                <w:position w:val="-12"/>
                <w:sz w:val="25"/>
              </w:rPr>
              <w:t>R</w:t>
            </w:r>
          </w:p>
          <w:p>
            <w:pPr>
              <w:pStyle w:val="TableParagraph"/>
              <w:spacing w:line="108" w:lineRule="exact"/>
              <w:ind w:left="1257"/>
              <w:rPr>
                <w:sz w:val="14"/>
              </w:rPr>
            </w:pPr>
            <w:r>
              <w:rPr>
                <w:w w:val="101"/>
                <w:sz w:val="14"/>
              </w:rPr>
              <w:t>0</w:t>
            </w:r>
          </w:p>
          <w:p>
            <w:pPr>
              <w:pStyle w:val="TableParagraph"/>
              <w:spacing w:line="340" w:lineRule="exact"/>
              <w:ind w:left="583"/>
              <w:jc w:val="left"/>
              <w:rPr>
                <w:rFonts w:ascii="Times New Roman" w:hAnsi="Times New Roman" w:eastAsia="Times New Roman"/>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i</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i</w:t>
            </w:r>
            <w:r>
              <w:rPr>
                <w:rFonts w:ascii="Times New Roman" w:hAnsi="Times New Roman" w:eastAsia="Times New Roman"/>
                <w:sz w:val="24"/>
              </w:rPr>
              <w:t>m</w:t>
            </w:r>
            <w:r>
              <w:rPr>
                <w:sz w:val="24"/>
              </w:rPr>
              <w:t>处的施工噪声预测值，</w:t>
            </w:r>
            <w:r>
              <w:rPr>
                <w:rFonts w:ascii="Times New Roman" w:hAnsi="Times New Roman" w:eastAsia="Times New Roman"/>
                <w:sz w:val="24"/>
              </w:rPr>
              <w:t>dB(A)</w:t>
            </w:r>
          </w:p>
          <w:p>
            <w:pPr>
              <w:pStyle w:val="TableParagraph"/>
              <w:spacing w:before="120"/>
              <w:ind w:left="1303"/>
              <w:jc w:val="left"/>
              <w:rPr>
                <w:rFonts w:ascii="Times New Roman" w:hAnsi="Times New Roman" w:eastAsia="Times New Roman"/>
                <w:sz w:val="24"/>
              </w:rPr>
            </w:pPr>
            <w:r>
              <w:rPr>
                <w:rFonts w:ascii="Times New Roman" w:hAnsi="Times New Roman" w:eastAsia="Times New Roman"/>
                <w:sz w:val="24"/>
              </w:rPr>
              <w:t>L</w:t>
            </w:r>
            <w:r>
              <w:rPr>
                <w:rFonts w:ascii="Times New Roman" w:hAnsi="Times New Roman" w:eastAsia="Times New Roman"/>
                <w:position w:val="-2"/>
                <w:sz w:val="16"/>
              </w:rPr>
              <w:t>0</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0</w:t>
            </w:r>
            <w:r>
              <w:rPr>
                <w:rFonts w:ascii="Times New Roman" w:hAnsi="Times New Roman" w:eastAsia="Times New Roman"/>
                <w:sz w:val="24"/>
              </w:rPr>
              <w:t>m</w:t>
            </w:r>
            <w:r>
              <w:rPr>
                <w:sz w:val="24"/>
              </w:rPr>
              <w:t>处的施工噪声级，</w:t>
            </w:r>
            <w:r>
              <w:rPr>
                <w:rFonts w:ascii="Times New Roman" w:hAnsi="Times New Roman" w:eastAsia="Times New Roman"/>
                <w:sz w:val="24"/>
              </w:rPr>
              <w:t>dB(A)</w:t>
            </w:r>
          </w:p>
          <w:p>
            <w:pPr>
              <w:pStyle w:val="TableParagraph"/>
              <w:spacing w:before="122"/>
              <w:ind w:right="725"/>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3"/>
              <w:ind w:left="1303"/>
              <w:jc w:val="left"/>
              <w:rPr>
                <w:sz w:val="24"/>
              </w:rPr>
            </w:pPr>
            <w:r>
              <w:rPr>
                <w:sz w:val="24"/>
              </w:rPr>
              <w:t>对于多台施工机械同时作业时对某个预测点的影响，按下式进行声级</w:t>
            </w:r>
          </w:p>
          <w:p>
            <w:pPr>
              <w:pStyle w:val="TableParagraph"/>
              <w:spacing w:before="153"/>
              <w:ind w:left="103"/>
              <w:jc w:val="left"/>
              <w:rPr>
                <w:sz w:val="24"/>
              </w:rPr>
            </w:pPr>
            <w:r>
              <w:rPr>
                <w:sz w:val="24"/>
              </w:rPr>
              <w:t>叠加：</w:t>
            </w:r>
          </w:p>
          <w:p>
            <w:pPr>
              <w:pStyle w:val="TableParagraph"/>
              <w:spacing w:line="144" w:lineRule="exact" w:before="204"/>
              <w:ind w:left="406"/>
              <w:rPr>
                <w:i/>
                <w:sz w:val="14"/>
              </w:rPr>
            </w:pPr>
            <w:r>
              <w:rPr>
                <w:i/>
                <w:w w:val="100"/>
                <w:sz w:val="14"/>
              </w:rPr>
              <w:t>n</w:t>
            </w:r>
          </w:p>
          <w:p>
            <w:pPr>
              <w:pStyle w:val="TableParagraph"/>
              <w:spacing w:line="365" w:lineRule="exact"/>
              <w:ind w:right="48"/>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pacing w:val="3"/>
                <w:w w:val="100"/>
                <w:sz w:val="24"/>
              </w:rPr>
              <w:t>1</w:t>
            </w:r>
            <w:r>
              <w:rPr>
                <w:w w:val="100"/>
                <w:sz w:val="24"/>
              </w:rPr>
              <w:t>0</w:t>
            </w:r>
            <w:r>
              <w:rPr>
                <w:spacing w:val="-80"/>
                <w:sz w:val="24"/>
              </w:rPr>
              <w:t> </w:t>
            </w:r>
            <w:r>
              <w:rPr>
                <w:spacing w:val="3"/>
                <w:w w:val="100"/>
                <w:sz w:val="24"/>
              </w:rPr>
              <w:t>l</w:t>
            </w:r>
            <w:r>
              <w:rPr>
                <w:w w:val="100"/>
                <w:sz w:val="24"/>
              </w:rPr>
              <w:t>g</w:t>
            </w:r>
            <w:r>
              <w:rPr>
                <w:spacing w:val="-60"/>
                <w:sz w:val="24"/>
              </w:rPr>
              <w:t> </w:t>
            </w:r>
            <w:r>
              <w:rPr>
                <w:rFonts w:ascii="Symbol" w:hAnsi="Symbol"/>
                <w:w w:val="100"/>
                <w:position w:val="-5"/>
                <w:sz w:val="36"/>
              </w:rPr>
              <w:t></w:t>
            </w:r>
            <w:r>
              <w:rPr>
                <w:rFonts w:ascii="Times New Roman" w:hAnsi="Times New Roman"/>
                <w:spacing w:val="-49"/>
                <w:position w:val="-5"/>
                <w:sz w:val="36"/>
              </w:rPr>
              <w:t> </w:t>
            </w:r>
            <w:r>
              <w:rPr>
                <w:spacing w:val="3"/>
                <w:w w:val="100"/>
                <w:sz w:val="24"/>
              </w:rPr>
              <w:t>1</w:t>
            </w:r>
            <w:r>
              <w:rPr>
                <w:spacing w:val="9"/>
                <w:w w:val="100"/>
                <w:sz w:val="24"/>
              </w:rPr>
              <w:t>0</w:t>
            </w:r>
            <w:r>
              <w:rPr>
                <w:w w:val="100"/>
                <w:position w:val="12"/>
                <w:sz w:val="14"/>
              </w:rPr>
              <w:t>0</w:t>
            </w:r>
            <w:r>
              <w:rPr>
                <w:spacing w:val="-1"/>
                <w:w w:val="100"/>
                <w:position w:val="12"/>
                <w:sz w:val="14"/>
              </w:rPr>
              <w:t>.</w:t>
            </w:r>
            <w:r>
              <w:rPr>
                <w:spacing w:val="-4"/>
                <w:w w:val="100"/>
                <w:position w:val="12"/>
                <w:sz w:val="14"/>
              </w:rPr>
              <w:t>1</w:t>
            </w:r>
            <w:r>
              <w:rPr>
                <w:i/>
                <w:spacing w:val="-5"/>
                <w:w w:val="100"/>
                <w:position w:val="12"/>
                <w:sz w:val="14"/>
              </w:rPr>
              <w:t>L</w:t>
            </w:r>
            <w:r>
              <w:rPr>
                <w:w w:val="100"/>
                <w:position w:val="9"/>
                <w:sz w:val="10"/>
              </w:rPr>
              <w:t>i</w:t>
            </w:r>
          </w:p>
          <w:p>
            <w:pPr>
              <w:pStyle w:val="TableParagraph"/>
              <w:spacing w:line="148" w:lineRule="exact"/>
              <w:ind w:left="437" w:right="18"/>
              <w:rPr>
                <w:sz w:val="14"/>
              </w:rPr>
            </w:pPr>
            <w:r>
              <w:rPr>
                <w:i/>
                <w:sz w:val="14"/>
              </w:rPr>
              <w:t>i </w:t>
            </w:r>
            <w:r>
              <w:rPr>
                <w:rFonts w:ascii="Symbol" w:hAnsi="Symbol"/>
                <w:sz w:val="14"/>
              </w:rPr>
              <w:t></w:t>
            </w:r>
            <w:r>
              <w:rPr>
                <w:sz w:val="14"/>
              </w:rPr>
              <w:t>1</w:t>
            </w:r>
          </w:p>
          <w:p>
            <w:pPr>
              <w:pStyle w:val="TableParagraph"/>
              <w:spacing w:line="357" w:lineRule="auto"/>
              <w:ind w:left="103" w:right="102" w:firstLine="479"/>
              <w:jc w:val="both"/>
              <w:rPr>
                <w:sz w:val="24"/>
              </w:rPr>
            </w:pPr>
            <w:r>
              <w:rPr>
                <w:spacing w:val="-5"/>
                <w:sz w:val="24"/>
              </w:rPr>
              <w:t>根据前述的预测方法和预测模式，对施工过程中各种设备噪声进行计算，得</w:t>
            </w:r>
            <w:r>
              <w:rPr>
                <w:spacing w:val="-10"/>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2"/>
              <w:ind w:right="2"/>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10" w:hRule="exact"/>
        </w:trPr>
        <w:tc>
          <w:tcPr>
            <w:tcW w:w="1279" w:type="dxa"/>
            <w:tcBorders>
              <w:bottom w:val="single" w:sz="8" w:space="0" w:color="000000"/>
            </w:tcBorders>
          </w:tcPr>
          <w:p>
            <w:pPr>
              <w:pStyle w:val="TableParagraph"/>
              <w:spacing w:line="253" w:lineRule="exact"/>
              <w:ind w:left="271"/>
              <w:jc w:val="left"/>
              <w:rPr>
                <w:sz w:val="21"/>
              </w:rPr>
            </w:pPr>
            <w:r>
              <w:rPr>
                <w:sz w:val="21"/>
              </w:rPr>
              <w:t>机械类型</w:t>
            </w:r>
          </w:p>
        </w:tc>
        <w:tc>
          <w:tcPr>
            <w:tcW w:w="1162" w:type="dxa"/>
            <w:tcBorders>
              <w:bottom w:val="single" w:sz="8" w:space="0" w:color="000000"/>
            </w:tcBorders>
          </w:tcPr>
          <w:p>
            <w:pPr>
              <w:pStyle w:val="TableParagraph"/>
              <w:spacing w:line="253" w:lineRule="exact"/>
              <w:ind w:left="369"/>
              <w:jc w:val="left"/>
              <w:rPr>
                <w:sz w:val="21"/>
              </w:rPr>
            </w:pPr>
            <w:r>
              <w:rPr>
                <w:sz w:val="21"/>
              </w:rPr>
              <w:t>型号</w:t>
            </w:r>
          </w:p>
        </w:tc>
        <w:tc>
          <w:tcPr>
            <w:tcW w:w="6090" w:type="dxa"/>
            <w:tcBorders>
              <w:bottom w:val="single" w:sz="8" w:space="0" w:color="000000"/>
            </w:tcBorders>
          </w:tcPr>
          <w:p>
            <w:pPr>
              <w:pStyle w:val="TableParagraph"/>
              <w:spacing w:line="269" w:lineRule="exact"/>
              <w:ind w:left="2306" w:right="2391"/>
              <w:rPr>
                <w:rFonts w:ascii="Times New Roman" w:eastAsia="Times New Roman"/>
                <w:sz w:val="21"/>
              </w:rPr>
            </w:pPr>
            <w:r>
              <w:rPr>
                <w:sz w:val="21"/>
              </w:rPr>
              <w:t>噪声值</w:t>
            </w:r>
            <w:r>
              <w:rPr>
                <w:rFonts w:ascii="Times New Roman" w:eastAsia="Times New Roman"/>
                <w:sz w:val="21"/>
              </w:rPr>
              <w:t>Leq(dB)</w:t>
            </w:r>
          </w:p>
        </w:tc>
      </w:tr>
    </w:tbl>
    <w:p>
      <w:pPr>
        <w:rPr>
          <w:sz w:val="2"/>
          <w:szCs w:val="2"/>
        </w:rPr>
      </w:pPr>
      <w:r>
        <w:rPr/>
        <w:pict>
          <v:line style="position:absolute;mso-position-horizontal-relative:page;mso-position-vertical-relative:page;z-index:-197704" from="319.398682pt,506.145813pt" to="333.161348pt,506.145813pt" stroked="true" strokeweight=".504993pt" strokecolor="#000000">
            <v:stroke dashstyle="solid"/>
            <w10:wrap type="none"/>
          </v:lin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262" w:hRule="exact"/>
        </w:trPr>
        <w:tc>
          <w:tcPr>
            <w:tcW w:w="1279" w:type="dxa"/>
          </w:tcPr>
          <w:p>
            <w:pPr/>
          </w:p>
        </w:tc>
        <w:tc>
          <w:tcPr>
            <w:tcW w:w="1162" w:type="dxa"/>
          </w:tcPr>
          <w:p>
            <w:pPr/>
          </w:p>
        </w:tc>
        <w:tc>
          <w:tcPr>
            <w:tcW w:w="386" w:type="dxa"/>
          </w:tcPr>
          <w:p>
            <w:pPr>
              <w:pStyle w:val="TableParagraph"/>
              <w:spacing w:before="3"/>
              <w:ind w:left="8"/>
              <w:rPr>
                <w:rFonts w:ascii="Times New Roman"/>
                <w:sz w:val="21"/>
              </w:rPr>
            </w:pPr>
            <w:r>
              <w:rPr>
                <w:rFonts w:ascii="Times New Roman"/>
                <w:spacing w:val="-20"/>
                <w:sz w:val="21"/>
              </w:rPr>
              <w:t>10m</w:t>
            </w:r>
          </w:p>
        </w:tc>
        <w:tc>
          <w:tcPr>
            <w:tcW w:w="386" w:type="dxa"/>
          </w:tcPr>
          <w:p>
            <w:pPr>
              <w:pStyle w:val="TableParagraph"/>
              <w:spacing w:before="3"/>
              <w:ind w:left="3"/>
              <w:rPr>
                <w:rFonts w:ascii="Times New Roman"/>
                <w:sz w:val="21"/>
              </w:rPr>
            </w:pPr>
            <w:r>
              <w:rPr>
                <w:rFonts w:ascii="Times New Roman"/>
                <w:sz w:val="21"/>
              </w:rPr>
              <w:t>20m</w:t>
            </w:r>
          </w:p>
        </w:tc>
        <w:tc>
          <w:tcPr>
            <w:tcW w:w="518" w:type="dxa"/>
          </w:tcPr>
          <w:p>
            <w:pPr>
              <w:pStyle w:val="TableParagraph"/>
              <w:spacing w:before="3"/>
              <w:ind w:right="100"/>
              <w:jc w:val="right"/>
              <w:rPr>
                <w:rFonts w:ascii="Times New Roman"/>
                <w:sz w:val="21"/>
              </w:rPr>
            </w:pPr>
            <w:r>
              <w:rPr>
                <w:rFonts w:ascii="Times New Roman"/>
                <w:sz w:val="21"/>
              </w:rPr>
              <w:t>30m</w:t>
            </w:r>
          </w:p>
        </w:tc>
        <w:tc>
          <w:tcPr>
            <w:tcW w:w="521" w:type="dxa"/>
          </w:tcPr>
          <w:p>
            <w:pPr>
              <w:pStyle w:val="TableParagraph"/>
              <w:spacing w:before="3"/>
              <w:ind w:right="116"/>
              <w:jc w:val="right"/>
              <w:rPr>
                <w:rFonts w:ascii="Times New Roman"/>
                <w:sz w:val="21"/>
              </w:rPr>
            </w:pPr>
            <w:r>
              <w:rPr>
                <w:rFonts w:ascii="Times New Roman"/>
                <w:sz w:val="21"/>
              </w:rPr>
              <w:t>60m</w:t>
            </w:r>
          </w:p>
        </w:tc>
        <w:tc>
          <w:tcPr>
            <w:tcW w:w="519" w:type="dxa"/>
          </w:tcPr>
          <w:p>
            <w:pPr>
              <w:pStyle w:val="TableParagraph"/>
              <w:spacing w:before="3"/>
              <w:ind w:left="129"/>
              <w:jc w:val="left"/>
              <w:rPr>
                <w:rFonts w:ascii="Times New Roman"/>
                <w:sz w:val="21"/>
              </w:rPr>
            </w:pPr>
            <w:r>
              <w:rPr>
                <w:rFonts w:ascii="Times New Roman"/>
                <w:sz w:val="21"/>
              </w:rPr>
              <w:t>90m</w:t>
            </w:r>
          </w:p>
        </w:tc>
        <w:tc>
          <w:tcPr>
            <w:tcW w:w="518" w:type="dxa"/>
          </w:tcPr>
          <w:p>
            <w:pPr>
              <w:pStyle w:val="TableParagraph"/>
              <w:spacing w:before="3"/>
              <w:ind w:left="13"/>
              <w:rPr>
                <w:rFonts w:ascii="Times New Roman"/>
                <w:sz w:val="21"/>
              </w:rPr>
            </w:pPr>
            <w:r>
              <w:rPr>
                <w:rFonts w:ascii="Times New Roman"/>
                <w:sz w:val="21"/>
              </w:rPr>
              <w:t>120m</w:t>
            </w:r>
          </w:p>
        </w:tc>
        <w:tc>
          <w:tcPr>
            <w:tcW w:w="518" w:type="dxa"/>
          </w:tcPr>
          <w:p>
            <w:pPr>
              <w:pStyle w:val="TableParagraph"/>
              <w:spacing w:before="3"/>
              <w:ind w:left="22"/>
              <w:rPr>
                <w:rFonts w:ascii="Times New Roman"/>
                <w:sz w:val="21"/>
              </w:rPr>
            </w:pPr>
            <w:r>
              <w:rPr>
                <w:rFonts w:ascii="Times New Roman"/>
                <w:sz w:val="21"/>
              </w:rPr>
              <w:t>150m</w:t>
            </w:r>
          </w:p>
        </w:tc>
        <w:tc>
          <w:tcPr>
            <w:tcW w:w="521" w:type="dxa"/>
          </w:tcPr>
          <w:p>
            <w:pPr>
              <w:pStyle w:val="TableParagraph"/>
              <w:spacing w:before="3"/>
              <w:ind w:left="100" w:right="-11"/>
              <w:jc w:val="left"/>
              <w:rPr>
                <w:rFonts w:ascii="Times New Roman"/>
                <w:sz w:val="21"/>
              </w:rPr>
            </w:pPr>
            <w:r>
              <w:rPr>
                <w:rFonts w:ascii="Times New Roman"/>
                <w:spacing w:val="-16"/>
                <w:sz w:val="21"/>
              </w:rPr>
              <w:t>180m</w:t>
            </w:r>
          </w:p>
        </w:tc>
        <w:tc>
          <w:tcPr>
            <w:tcW w:w="518" w:type="dxa"/>
          </w:tcPr>
          <w:p>
            <w:pPr>
              <w:pStyle w:val="TableParagraph"/>
              <w:spacing w:before="3"/>
              <w:ind w:left="22"/>
              <w:rPr>
                <w:rFonts w:ascii="Times New Roman"/>
                <w:sz w:val="21"/>
              </w:rPr>
            </w:pPr>
            <w:r>
              <w:rPr>
                <w:rFonts w:ascii="Times New Roman"/>
                <w:sz w:val="21"/>
              </w:rPr>
              <w:t>210m</w:t>
            </w:r>
          </w:p>
        </w:tc>
        <w:tc>
          <w:tcPr>
            <w:tcW w:w="521" w:type="dxa"/>
          </w:tcPr>
          <w:p>
            <w:pPr>
              <w:pStyle w:val="TableParagraph"/>
              <w:spacing w:before="3"/>
              <w:ind w:left="45" w:right="11"/>
              <w:rPr>
                <w:rFonts w:ascii="Times New Roman"/>
                <w:sz w:val="21"/>
              </w:rPr>
            </w:pPr>
            <w:r>
              <w:rPr>
                <w:rFonts w:ascii="Times New Roman"/>
                <w:spacing w:val="-16"/>
                <w:sz w:val="21"/>
              </w:rPr>
              <w:t>240m</w:t>
            </w:r>
          </w:p>
        </w:tc>
        <w:tc>
          <w:tcPr>
            <w:tcW w:w="518" w:type="dxa"/>
          </w:tcPr>
          <w:p>
            <w:pPr>
              <w:pStyle w:val="TableParagraph"/>
              <w:spacing w:before="3"/>
              <w:ind w:left="37"/>
              <w:rPr>
                <w:rFonts w:ascii="Times New Roman"/>
                <w:sz w:val="21"/>
              </w:rPr>
            </w:pPr>
            <w:r>
              <w:rPr>
                <w:rFonts w:ascii="Times New Roman"/>
                <w:spacing w:val="-16"/>
                <w:sz w:val="21"/>
              </w:rPr>
              <w:t>270m</w:t>
            </w:r>
          </w:p>
        </w:tc>
        <w:tc>
          <w:tcPr>
            <w:tcW w:w="643" w:type="dxa"/>
          </w:tcPr>
          <w:p>
            <w:pPr>
              <w:pStyle w:val="TableParagraph"/>
              <w:spacing w:before="3"/>
              <w:ind w:left="12" w:right="102"/>
              <w:rPr>
                <w:rFonts w:ascii="Times New Roman"/>
                <w:sz w:val="21"/>
              </w:rPr>
            </w:pPr>
            <w:r>
              <w:rPr>
                <w:rFonts w:ascii="Times New Roman"/>
                <w:sz w:val="21"/>
              </w:rPr>
              <w:t>300m</w:t>
            </w:r>
          </w:p>
        </w:tc>
      </w:tr>
      <w:tr>
        <w:trPr>
          <w:trHeight w:val="554" w:hRule="exact"/>
        </w:trPr>
        <w:tc>
          <w:tcPr>
            <w:tcW w:w="1279" w:type="dxa"/>
          </w:tcPr>
          <w:p>
            <w:pPr>
              <w:pStyle w:val="TableParagraph"/>
              <w:spacing w:line="240" w:lineRule="exact"/>
              <w:ind w:left="142" w:right="32"/>
              <w:rPr>
                <w:sz w:val="21"/>
              </w:rPr>
            </w:pPr>
            <w:r>
              <w:rPr>
                <w:sz w:val="21"/>
              </w:rPr>
              <w:t>轮式装载</w:t>
            </w:r>
          </w:p>
          <w:p>
            <w:pPr>
              <w:pStyle w:val="TableParagraph"/>
              <w:spacing w:line="274" w:lineRule="exact"/>
              <w:ind w:left="107"/>
              <w:rPr>
                <w:sz w:val="21"/>
              </w:rPr>
            </w:pPr>
            <w:r>
              <w:rPr>
                <w:w w:val="100"/>
                <w:sz w:val="21"/>
              </w:rPr>
              <w:t>机</w:t>
            </w:r>
          </w:p>
        </w:tc>
        <w:tc>
          <w:tcPr>
            <w:tcW w:w="1162" w:type="dxa"/>
          </w:tcPr>
          <w:p>
            <w:pPr>
              <w:pStyle w:val="TableParagraph"/>
              <w:spacing w:before="102"/>
              <w:ind w:left="105" w:right="105"/>
              <w:rPr>
                <w:sz w:val="21"/>
              </w:rPr>
            </w:pPr>
            <w:r>
              <w:rPr>
                <w:rFonts w:ascii="Times New Roman" w:eastAsia="Times New Roman"/>
                <w:sz w:val="21"/>
              </w:rPr>
              <w:t>ZL40 </w:t>
            </w:r>
            <w:r>
              <w:rPr>
                <w:sz w:val="21"/>
              </w:rPr>
              <w:t>型</w:t>
            </w:r>
          </w:p>
        </w:tc>
        <w:tc>
          <w:tcPr>
            <w:tcW w:w="386" w:type="dxa"/>
          </w:tcPr>
          <w:p>
            <w:pPr>
              <w:pStyle w:val="TableParagraph"/>
              <w:spacing w:before="144"/>
              <w:ind w:left="2"/>
              <w:rPr>
                <w:rFonts w:ascii="Times New Roman"/>
                <w:sz w:val="21"/>
              </w:rPr>
            </w:pPr>
            <w:r>
              <w:rPr>
                <w:rFonts w:ascii="Times New Roman"/>
                <w:sz w:val="21"/>
              </w:rPr>
              <w:t>84</w:t>
            </w:r>
          </w:p>
        </w:tc>
        <w:tc>
          <w:tcPr>
            <w:tcW w:w="386" w:type="dxa"/>
          </w:tcPr>
          <w:p>
            <w:pPr>
              <w:pStyle w:val="TableParagraph"/>
              <w:spacing w:before="144"/>
              <w:ind w:left="2"/>
              <w:rPr>
                <w:rFonts w:ascii="Times New Roman"/>
                <w:sz w:val="21"/>
              </w:rPr>
            </w:pPr>
            <w:r>
              <w:rPr>
                <w:rFonts w:ascii="Times New Roman"/>
                <w:sz w:val="21"/>
              </w:rPr>
              <w:t>78</w:t>
            </w:r>
          </w:p>
        </w:tc>
        <w:tc>
          <w:tcPr>
            <w:tcW w:w="518" w:type="dxa"/>
          </w:tcPr>
          <w:p>
            <w:pPr>
              <w:pStyle w:val="TableParagraph"/>
              <w:spacing w:before="144"/>
              <w:ind w:right="167"/>
              <w:jc w:val="right"/>
              <w:rPr>
                <w:rFonts w:ascii="Times New Roman"/>
                <w:sz w:val="21"/>
              </w:rPr>
            </w:pPr>
            <w:r>
              <w:rPr>
                <w:rFonts w:ascii="Times New Roman"/>
                <w:sz w:val="21"/>
              </w:rPr>
              <w:t>74</w:t>
            </w:r>
          </w:p>
        </w:tc>
        <w:tc>
          <w:tcPr>
            <w:tcW w:w="521" w:type="dxa"/>
          </w:tcPr>
          <w:p>
            <w:pPr>
              <w:pStyle w:val="TableParagraph"/>
              <w:spacing w:before="144"/>
              <w:ind w:right="168"/>
              <w:jc w:val="right"/>
              <w:rPr>
                <w:rFonts w:ascii="Times New Roman"/>
                <w:sz w:val="21"/>
              </w:rPr>
            </w:pPr>
            <w:r>
              <w:rPr>
                <w:rFonts w:ascii="Times New Roman"/>
                <w:sz w:val="21"/>
              </w:rPr>
              <w:t>68</w:t>
            </w:r>
          </w:p>
        </w:tc>
        <w:tc>
          <w:tcPr>
            <w:tcW w:w="519" w:type="dxa"/>
          </w:tcPr>
          <w:p>
            <w:pPr>
              <w:pStyle w:val="TableParagraph"/>
              <w:spacing w:before="144"/>
              <w:ind w:left="165"/>
              <w:jc w:val="left"/>
              <w:rPr>
                <w:rFonts w:ascii="Times New Roman"/>
                <w:sz w:val="21"/>
              </w:rPr>
            </w:pPr>
            <w:r>
              <w:rPr>
                <w:rFonts w:ascii="Times New Roman"/>
                <w:sz w:val="21"/>
              </w:rPr>
              <w:t>65</w:t>
            </w:r>
          </w:p>
        </w:tc>
        <w:tc>
          <w:tcPr>
            <w:tcW w:w="518" w:type="dxa"/>
          </w:tcPr>
          <w:p>
            <w:pPr>
              <w:pStyle w:val="TableParagraph"/>
              <w:spacing w:before="144"/>
              <w:rPr>
                <w:rFonts w:ascii="Times New Roman"/>
                <w:sz w:val="21"/>
              </w:rPr>
            </w:pPr>
            <w:r>
              <w:rPr>
                <w:rFonts w:ascii="Times New Roman"/>
                <w:sz w:val="21"/>
              </w:rPr>
              <w:t>62</w:t>
            </w:r>
          </w:p>
        </w:tc>
        <w:tc>
          <w:tcPr>
            <w:tcW w:w="518" w:type="dxa"/>
          </w:tcPr>
          <w:p>
            <w:pPr>
              <w:pStyle w:val="TableParagraph"/>
              <w:spacing w:before="144"/>
              <w:rPr>
                <w:rFonts w:ascii="Times New Roman"/>
                <w:sz w:val="21"/>
              </w:rPr>
            </w:pPr>
            <w:r>
              <w:rPr>
                <w:rFonts w:ascii="Times New Roman"/>
                <w:sz w:val="21"/>
              </w:rPr>
              <w:t>60</w:t>
            </w:r>
          </w:p>
        </w:tc>
        <w:tc>
          <w:tcPr>
            <w:tcW w:w="521" w:type="dxa"/>
          </w:tcPr>
          <w:p>
            <w:pPr>
              <w:pStyle w:val="TableParagraph"/>
              <w:spacing w:before="144"/>
              <w:ind w:left="170"/>
              <w:jc w:val="left"/>
              <w:rPr>
                <w:rFonts w:ascii="Times New Roman"/>
                <w:sz w:val="21"/>
              </w:rPr>
            </w:pPr>
            <w:r>
              <w:rPr>
                <w:rFonts w:ascii="Times New Roman"/>
                <w:sz w:val="21"/>
              </w:rPr>
              <w:t>59</w:t>
            </w:r>
          </w:p>
        </w:tc>
        <w:tc>
          <w:tcPr>
            <w:tcW w:w="518" w:type="dxa"/>
          </w:tcPr>
          <w:p>
            <w:pPr>
              <w:pStyle w:val="TableParagraph"/>
              <w:spacing w:before="144"/>
              <w:rPr>
                <w:rFonts w:ascii="Times New Roman"/>
                <w:sz w:val="21"/>
              </w:rPr>
            </w:pPr>
            <w:r>
              <w:rPr>
                <w:rFonts w:ascii="Times New Roman"/>
                <w:sz w:val="21"/>
              </w:rPr>
              <w:t>58</w:t>
            </w:r>
          </w:p>
        </w:tc>
        <w:tc>
          <w:tcPr>
            <w:tcW w:w="521" w:type="dxa"/>
          </w:tcPr>
          <w:p>
            <w:pPr>
              <w:pStyle w:val="TableParagraph"/>
              <w:spacing w:before="144"/>
              <w:ind w:left="10" w:right="11"/>
              <w:rPr>
                <w:rFonts w:ascii="Times New Roman"/>
                <w:sz w:val="21"/>
              </w:rPr>
            </w:pPr>
            <w:r>
              <w:rPr>
                <w:rFonts w:ascii="Times New Roman"/>
                <w:sz w:val="21"/>
              </w:rPr>
              <w:t>56</w:t>
            </w:r>
          </w:p>
        </w:tc>
        <w:tc>
          <w:tcPr>
            <w:tcW w:w="518" w:type="dxa"/>
          </w:tcPr>
          <w:p>
            <w:pPr>
              <w:pStyle w:val="TableParagraph"/>
              <w:spacing w:before="144"/>
              <w:ind w:left="13" w:right="15"/>
              <w:rPr>
                <w:rFonts w:ascii="Times New Roman"/>
                <w:sz w:val="21"/>
              </w:rPr>
            </w:pPr>
            <w:r>
              <w:rPr>
                <w:rFonts w:ascii="Times New Roman"/>
                <w:sz w:val="21"/>
              </w:rPr>
              <w:t>55</w:t>
            </w:r>
          </w:p>
        </w:tc>
        <w:tc>
          <w:tcPr>
            <w:tcW w:w="643" w:type="dxa"/>
          </w:tcPr>
          <w:p>
            <w:pPr>
              <w:pStyle w:val="TableParagraph"/>
              <w:spacing w:before="144"/>
              <w:ind w:left="12" w:right="115"/>
              <w:rPr>
                <w:rFonts w:ascii="Times New Roman"/>
                <w:sz w:val="21"/>
              </w:rPr>
            </w:pPr>
            <w:r>
              <w:rPr>
                <w:rFonts w:ascii="Times New Roman"/>
                <w:sz w:val="21"/>
              </w:rPr>
              <w:t>54</w:t>
            </w:r>
          </w:p>
        </w:tc>
      </w:tr>
      <w:tr>
        <w:trPr>
          <w:trHeight w:val="523" w:hRule="exact"/>
        </w:trPr>
        <w:tc>
          <w:tcPr>
            <w:tcW w:w="1279" w:type="dxa"/>
          </w:tcPr>
          <w:p>
            <w:pPr>
              <w:pStyle w:val="TableParagraph"/>
              <w:spacing w:before="88"/>
              <w:ind w:right="263"/>
              <w:jc w:val="right"/>
              <w:rPr>
                <w:sz w:val="21"/>
              </w:rPr>
            </w:pPr>
            <w:r>
              <w:rPr>
                <w:sz w:val="21"/>
              </w:rPr>
              <w:t>平地机</w:t>
            </w:r>
          </w:p>
        </w:tc>
        <w:tc>
          <w:tcPr>
            <w:tcW w:w="1162" w:type="dxa"/>
          </w:tcPr>
          <w:p>
            <w:pPr>
              <w:pStyle w:val="TableParagraph"/>
              <w:spacing w:line="222" w:lineRule="exact"/>
              <w:ind w:left="105" w:right="105"/>
              <w:rPr>
                <w:rFonts w:ascii="Times New Roman"/>
                <w:sz w:val="21"/>
              </w:rPr>
            </w:pPr>
            <w:r>
              <w:rPr>
                <w:rFonts w:ascii="Times New Roman"/>
                <w:sz w:val="21"/>
              </w:rPr>
              <w:t>PY160A</w:t>
            </w:r>
          </w:p>
          <w:p>
            <w:pPr>
              <w:pStyle w:val="TableParagraph"/>
              <w:spacing w:line="261" w:lineRule="exact"/>
              <w:rPr>
                <w:sz w:val="21"/>
              </w:rPr>
            </w:pPr>
            <w:r>
              <w:rPr>
                <w:w w:val="100"/>
                <w:sz w:val="21"/>
              </w:rPr>
              <w:t>型</w:t>
            </w:r>
          </w:p>
        </w:tc>
        <w:tc>
          <w:tcPr>
            <w:tcW w:w="386" w:type="dxa"/>
          </w:tcPr>
          <w:p>
            <w:pPr>
              <w:pStyle w:val="TableParagraph"/>
              <w:spacing w:before="130"/>
              <w:ind w:left="2"/>
              <w:rPr>
                <w:rFonts w:ascii="Times New Roman"/>
                <w:sz w:val="21"/>
              </w:rPr>
            </w:pPr>
            <w:r>
              <w:rPr>
                <w:rFonts w:ascii="Times New Roman"/>
                <w:sz w:val="21"/>
              </w:rPr>
              <w:t>84</w:t>
            </w:r>
          </w:p>
        </w:tc>
        <w:tc>
          <w:tcPr>
            <w:tcW w:w="386" w:type="dxa"/>
          </w:tcPr>
          <w:p>
            <w:pPr>
              <w:pStyle w:val="TableParagraph"/>
              <w:spacing w:before="130"/>
              <w:ind w:left="2"/>
              <w:rPr>
                <w:rFonts w:ascii="Times New Roman"/>
                <w:sz w:val="21"/>
              </w:rPr>
            </w:pPr>
            <w:r>
              <w:rPr>
                <w:rFonts w:ascii="Times New Roman"/>
                <w:sz w:val="21"/>
              </w:rPr>
              <w:t>78</w:t>
            </w:r>
          </w:p>
        </w:tc>
        <w:tc>
          <w:tcPr>
            <w:tcW w:w="518" w:type="dxa"/>
          </w:tcPr>
          <w:p>
            <w:pPr>
              <w:pStyle w:val="TableParagraph"/>
              <w:spacing w:before="130"/>
              <w:ind w:right="167"/>
              <w:jc w:val="right"/>
              <w:rPr>
                <w:rFonts w:ascii="Times New Roman"/>
                <w:sz w:val="21"/>
              </w:rPr>
            </w:pPr>
            <w:r>
              <w:rPr>
                <w:rFonts w:ascii="Times New Roman"/>
                <w:sz w:val="21"/>
              </w:rPr>
              <w:t>74</w:t>
            </w:r>
          </w:p>
        </w:tc>
        <w:tc>
          <w:tcPr>
            <w:tcW w:w="521" w:type="dxa"/>
          </w:tcPr>
          <w:p>
            <w:pPr>
              <w:pStyle w:val="TableParagraph"/>
              <w:spacing w:before="130"/>
              <w:ind w:right="168"/>
              <w:jc w:val="right"/>
              <w:rPr>
                <w:rFonts w:ascii="Times New Roman"/>
                <w:sz w:val="21"/>
              </w:rPr>
            </w:pPr>
            <w:r>
              <w:rPr>
                <w:rFonts w:ascii="Times New Roman"/>
                <w:sz w:val="21"/>
              </w:rPr>
              <w:t>68</w:t>
            </w:r>
          </w:p>
        </w:tc>
        <w:tc>
          <w:tcPr>
            <w:tcW w:w="519" w:type="dxa"/>
          </w:tcPr>
          <w:p>
            <w:pPr>
              <w:pStyle w:val="TableParagraph"/>
              <w:spacing w:before="130"/>
              <w:ind w:left="165"/>
              <w:jc w:val="left"/>
              <w:rPr>
                <w:rFonts w:ascii="Times New Roman"/>
                <w:sz w:val="21"/>
              </w:rPr>
            </w:pPr>
            <w:r>
              <w:rPr>
                <w:rFonts w:ascii="Times New Roman"/>
                <w:sz w:val="21"/>
              </w:rPr>
              <w:t>65</w:t>
            </w:r>
          </w:p>
        </w:tc>
        <w:tc>
          <w:tcPr>
            <w:tcW w:w="518" w:type="dxa"/>
          </w:tcPr>
          <w:p>
            <w:pPr>
              <w:pStyle w:val="TableParagraph"/>
              <w:spacing w:before="130"/>
              <w:rPr>
                <w:rFonts w:ascii="Times New Roman"/>
                <w:sz w:val="21"/>
              </w:rPr>
            </w:pPr>
            <w:r>
              <w:rPr>
                <w:rFonts w:ascii="Times New Roman"/>
                <w:sz w:val="21"/>
              </w:rPr>
              <w:t>62</w:t>
            </w:r>
          </w:p>
        </w:tc>
        <w:tc>
          <w:tcPr>
            <w:tcW w:w="518" w:type="dxa"/>
          </w:tcPr>
          <w:p>
            <w:pPr>
              <w:pStyle w:val="TableParagraph"/>
              <w:spacing w:before="130"/>
              <w:rPr>
                <w:rFonts w:ascii="Times New Roman"/>
                <w:sz w:val="21"/>
              </w:rPr>
            </w:pPr>
            <w:r>
              <w:rPr>
                <w:rFonts w:ascii="Times New Roman"/>
                <w:sz w:val="21"/>
              </w:rPr>
              <w:t>60</w:t>
            </w:r>
          </w:p>
        </w:tc>
        <w:tc>
          <w:tcPr>
            <w:tcW w:w="521" w:type="dxa"/>
          </w:tcPr>
          <w:p>
            <w:pPr>
              <w:pStyle w:val="TableParagraph"/>
              <w:spacing w:before="130"/>
              <w:ind w:left="170"/>
              <w:jc w:val="left"/>
              <w:rPr>
                <w:rFonts w:ascii="Times New Roman"/>
                <w:sz w:val="21"/>
              </w:rPr>
            </w:pPr>
            <w:r>
              <w:rPr>
                <w:rFonts w:ascii="Times New Roman"/>
                <w:sz w:val="21"/>
              </w:rPr>
              <w:t>59</w:t>
            </w:r>
          </w:p>
        </w:tc>
        <w:tc>
          <w:tcPr>
            <w:tcW w:w="518" w:type="dxa"/>
          </w:tcPr>
          <w:p>
            <w:pPr>
              <w:pStyle w:val="TableParagraph"/>
              <w:spacing w:before="130"/>
              <w:rPr>
                <w:rFonts w:ascii="Times New Roman"/>
                <w:sz w:val="21"/>
              </w:rPr>
            </w:pPr>
            <w:r>
              <w:rPr>
                <w:rFonts w:ascii="Times New Roman"/>
                <w:sz w:val="21"/>
              </w:rPr>
              <w:t>58</w:t>
            </w:r>
          </w:p>
        </w:tc>
        <w:tc>
          <w:tcPr>
            <w:tcW w:w="521" w:type="dxa"/>
          </w:tcPr>
          <w:p>
            <w:pPr>
              <w:pStyle w:val="TableParagraph"/>
              <w:spacing w:before="130"/>
              <w:ind w:left="10" w:right="11"/>
              <w:rPr>
                <w:rFonts w:ascii="Times New Roman"/>
                <w:sz w:val="21"/>
              </w:rPr>
            </w:pPr>
            <w:r>
              <w:rPr>
                <w:rFonts w:ascii="Times New Roman"/>
                <w:sz w:val="21"/>
              </w:rPr>
              <w:t>56</w:t>
            </w:r>
          </w:p>
        </w:tc>
        <w:tc>
          <w:tcPr>
            <w:tcW w:w="518" w:type="dxa"/>
          </w:tcPr>
          <w:p>
            <w:pPr>
              <w:pStyle w:val="TableParagraph"/>
              <w:spacing w:before="130"/>
              <w:ind w:left="13" w:right="15"/>
              <w:rPr>
                <w:rFonts w:ascii="Times New Roman"/>
                <w:sz w:val="21"/>
              </w:rPr>
            </w:pPr>
            <w:r>
              <w:rPr>
                <w:rFonts w:ascii="Times New Roman"/>
                <w:sz w:val="21"/>
              </w:rPr>
              <w:t>55</w:t>
            </w:r>
          </w:p>
        </w:tc>
        <w:tc>
          <w:tcPr>
            <w:tcW w:w="643" w:type="dxa"/>
          </w:tcPr>
          <w:p>
            <w:pPr>
              <w:pStyle w:val="TableParagraph"/>
              <w:spacing w:before="130"/>
              <w:ind w:left="12" w:right="115"/>
              <w:rPr>
                <w:rFonts w:ascii="Times New Roman"/>
                <w:sz w:val="21"/>
              </w:rPr>
            </w:pPr>
            <w:r>
              <w:rPr>
                <w:rFonts w:ascii="Times New Roman"/>
                <w:sz w:val="21"/>
              </w:rPr>
              <w:t>54</w:t>
            </w:r>
          </w:p>
        </w:tc>
      </w:tr>
      <w:tr>
        <w:trPr>
          <w:trHeight w:val="554" w:hRule="exact"/>
        </w:trPr>
        <w:tc>
          <w:tcPr>
            <w:tcW w:w="1279" w:type="dxa"/>
          </w:tcPr>
          <w:p>
            <w:pPr>
              <w:pStyle w:val="TableParagraph"/>
              <w:spacing w:line="240" w:lineRule="exact"/>
              <w:ind w:left="147" w:right="32"/>
              <w:rPr>
                <w:sz w:val="21"/>
              </w:rPr>
            </w:pPr>
            <w:r>
              <w:rPr>
                <w:sz w:val="21"/>
              </w:rPr>
              <w:t>振动式压路</w:t>
            </w:r>
          </w:p>
          <w:p>
            <w:pPr>
              <w:pStyle w:val="TableParagraph"/>
              <w:spacing w:line="274" w:lineRule="exact"/>
              <w:ind w:left="213"/>
              <w:rPr>
                <w:sz w:val="21"/>
              </w:rPr>
            </w:pPr>
            <w:r>
              <w:rPr>
                <w:w w:val="100"/>
                <w:sz w:val="21"/>
              </w:rPr>
              <w:t>机</w:t>
            </w:r>
          </w:p>
        </w:tc>
        <w:tc>
          <w:tcPr>
            <w:tcW w:w="1162" w:type="dxa"/>
          </w:tcPr>
          <w:p>
            <w:pPr>
              <w:pStyle w:val="TableParagraph"/>
              <w:spacing w:before="147"/>
              <w:ind w:left="105" w:right="106"/>
              <w:rPr>
                <w:rFonts w:ascii="Times New Roman"/>
                <w:sz w:val="21"/>
              </w:rPr>
            </w:pPr>
            <w:r>
              <w:rPr>
                <w:rFonts w:ascii="Times New Roman"/>
                <w:sz w:val="21"/>
              </w:rPr>
              <w:t>YZJ10B</w:t>
            </w:r>
          </w:p>
        </w:tc>
        <w:tc>
          <w:tcPr>
            <w:tcW w:w="386" w:type="dxa"/>
          </w:tcPr>
          <w:p>
            <w:pPr>
              <w:pStyle w:val="TableParagraph"/>
              <w:spacing w:before="147"/>
              <w:ind w:left="2"/>
              <w:rPr>
                <w:rFonts w:ascii="Times New Roman"/>
                <w:sz w:val="21"/>
              </w:rPr>
            </w:pPr>
            <w:r>
              <w:rPr>
                <w:rFonts w:ascii="Times New Roman"/>
                <w:sz w:val="21"/>
              </w:rPr>
              <w:t>80</w:t>
            </w:r>
          </w:p>
        </w:tc>
        <w:tc>
          <w:tcPr>
            <w:tcW w:w="386" w:type="dxa"/>
          </w:tcPr>
          <w:p>
            <w:pPr>
              <w:pStyle w:val="TableParagraph"/>
              <w:spacing w:before="147"/>
              <w:ind w:left="2"/>
              <w:rPr>
                <w:rFonts w:ascii="Times New Roman"/>
                <w:sz w:val="21"/>
              </w:rPr>
            </w:pPr>
            <w:r>
              <w:rPr>
                <w:rFonts w:ascii="Times New Roman"/>
                <w:sz w:val="21"/>
              </w:rPr>
              <w:t>74</w:t>
            </w:r>
          </w:p>
        </w:tc>
        <w:tc>
          <w:tcPr>
            <w:tcW w:w="518" w:type="dxa"/>
          </w:tcPr>
          <w:p>
            <w:pPr>
              <w:pStyle w:val="TableParagraph"/>
              <w:spacing w:before="147"/>
              <w:ind w:right="167"/>
              <w:jc w:val="right"/>
              <w:rPr>
                <w:rFonts w:ascii="Times New Roman"/>
                <w:sz w:val="21"/>
              </w:rPr>
            </w:pPr>
            <w:r>
              <w:rPr>
                <w:rFonts w:ascii="Times New Roman"/>
                <w:sz w:val="21"/>
              </w:rPr>
              <w:t>70</w:t>
            </w:r>
          </w:p>
        </w:tc>
        <w:tc>
          <w:tcPr>
            <w:tcW w:w="521" w:type="dxa"/>
          </w:tcPr>
          <w:p>
            <w:pPr>
              <w:pStyle w:val="TableParagraph"/>
              <w:spacing w:before="147"/>
              <w:ind w:right="168"/>
              <w:jc w:val="right"/>
              <w:rPr>
                <w:rFonts w:ascii="Times New Roman"/>
                <w:sz w:val="21"/>
              </w:rPr>
            </w:pPr>
            <w:r>
              <w:rPr>
                <w:rFonts w:ascii="Times New Roman"/>
                <w:sz w:val="21"/>
              </w:rPr>
              <w:t>64</w:t>
            </w:r>
          </w:p>
        </w:tc>
        <w:tc>
          <w:tcPr>
            <w:tcW w:w="519" w:type="dxa"/>
          </w:tcPr>
          <w:p>
            <w:pPr>
              <w:pStyle w:val="TableParagraph"/>
              <w:spacing w:before="147"/>
              <w:ind w:left="165"/>
              <w:jc w:val="left"/>
              <w:rPr>
                <w:rFonts w:ascii="Times New Roman"/>
                <w:sz w:val="21"/>
              </w:rPr>
            </w:pPr>
            <w:r>
              <w:rPr>
                <w:rFonts w:ascii="Times New Roman"/>
                <w:sz w:val="21"/>
              </w:rPr>
              <w:t>61</w:t>
            </w:r>
          </w:p>
        </w:tc>
        <w:tc>
          <w:tcPr>
            <w:tcW w:w="518" w:type="dxa"/>
          </w:tcPr>
          <w:p>
            <w:pPr>
              <w:pStyle w:val="TableParagraph"/>
              <w:spacing w:before="147"/>
              <w:rPr>
                <w:rFonts w:ascii="Times New Roman"/>
                <w:sz w:val="21"/>
              </w:rPr>
            </w:pPr>
            <w:r>
              <w:rPr>
                <w:rFonts w:ascii="Times New Roman"/>
                <w:sz w:val="21"/>
              </w:rPr>
              <w:t>58</w:t>
            </w:r>
          </w:p>
        </w:tc>
        <w:tc>
          <w:tcPr>
            <w:tcW w:w="518" w:type="dxa"/>
          </w:tcPr>
          <w:p>
            <w:pPr>
              <w:pStyle w:val="TableParagraph"/>
              <w:spacing w:before="147"/>
              <w:rPr>
                <w:rFonts w:ascii="Times New Roman"/>
                <w:sz w:val="21"/>
              </w:rPr>
            </w:pPr>
            <w:r>
              <w:rPr>
                <w:rFonts w:ascii="Times New Roman"/>
                <w:sz w:val="21"/>
              </w:rPr>
              <w:t>56</w:t>
            </w:r>
          </w:p>
        </w:tc>
        <w:tc>
          <w:tcPr>
            <w:tcW w:w="521" w:type="dxa"/>
          </w:tcPr>
          <w:p>
            <w:pPr>
              <w:pStyle w:val="TableParagraph"/>
              <w:spacing w:before="147"/>
              <w:ind w:left="170"/>
              <w:jc w:val="left"/>
              <w:rPr>
                <w:rFonts w:ascii="Times New Roman"/>
                <w:sz w:val="21"/>
              </w:rPr>
            </w:pPr>
            <w:r>
              <w:rPr>
                <w:rFonts w:ascii="Times New Roman"/>
                <w:sz w:val="21"/>
              </w:rPr>
              <w:t>55</w:t>
            </w:r>
          </w:p>
        </w:tc>
        <w:tc>
          <w:tcPr>
            <w:tcW w:w="518" w:type="dxa"/>
          </w:tcPr>
          <w:p>
            <w:pPr>
              <w:pStyle w:val="TableParagraph"/>
              <w:spacing w:before="147"/>
              <w:rPr>
                <w:rFonts w:ascii="Times New Roman"/>
                <w:sz w:val="21"/>
              </w:rPr>
            </w:pPr>
            <w:r>
              <w:rPr>
                <w:rFonts w:ascii="Times New Roman"/>
                <w:sz w:val="21"/>
              </w:rPr>
              <w:t>54</w:t>
            </w:r>
          </w:p>
        </w:tc>
        <w:tc>
          <w:tcPr>
            <w:tcW w:w="521" w:type="dxa"/>
          </w:tcPr>
          <w:p>
            <w:pPr>
              <w:pStyle w:val="TableParagraph"/>
              <w:spacing w:before="147"/>
              <w:ind w:left="10" w:right="11"/>
              <w:rPr>
                <w:rFonts w:ascii="Times New Roman"/>
                <w:sz w:val="21"/>
              </w:rPr>
            </w:pPr>
            <w:r>
              <w:rPr>
                <w:rFonts w:ascii="Times New Roman"/>
                <w:sz w:val="21"/>
              </w:rPr>
              <w:t>52</w:t>
            </w:r>
          </w:p>
        </w:tc>
        <w:tc>
          <w:tcPr>
            <w:tcW w:w="518" w:type="dxa"/>
          </w:tcPr>
          <w:p>
            <w:pPr>
              <w:pStyle w:val="TableParagraph"/>
              <w:spacing w:before="147"/>
              <w:ind w:left="13" w:right="15"/>
              <w:rPr>
                <w:rFonts w:ascii="Times New Roman"/>
                <w:sz w:val="21"/>
              </w:rPr>
            </w:pPr>
            <w:r>
              <w:rPr>
                <w:rFonts w:ascii="Times New Roman"/>
                <w:sz w:val="21"/>
              </w:rPr>
              <w:t>51</w:t>
            </w:r>
          </w:p>
        </w:tc>
        <w:tc>
          <w:tcPr>
            <w:tcW w:w="643" w:type="dxa"/>
          </w:tcPr>
          <w:p>
            <w:pPr>
              <w:pStyle w:val="TableParagraph"/>
              <w:spacing w:before="147"/>
              <w:ind w:left="12" w:right="115"/>
              <w:rPr>
                <w:rFonts w:ascii="Times New Roman"/>
                <w:sz w:val="21"/>
              </w:rPr>
            </w:pPr>
            <w:r>
              <w:rPr>
                <w:rFonts w:ascii="Times New Roman"/>
                <w:sz w:val="21"/>
              </w:rPr>
              <w:t>50</w:t>
            </w:r>
          </w:p>
        </w:tc>
      </w:tr>
      <w:tr>
        <w:trPr>
          <w:trHeight w:val="557" w:hRule="exact"/>
        </w:trPr>
        <w:tc>
          <w:tcPr>
            <w:tcW w:w="1279" w:type="dxa"/>
          </w:tcPr>
          <w:p>
            <w:pPr>
              <w:pStyle w:val="TableParagraph"/>
              <w:spacing w:line="241" w:lineRule="exact"/>
              <w:ind w:left="147" w:right="32"/>
              <w:rPr>
                <w:sz w:val="21"/>
              </w:rPr>
            </w:pPr>
            <w:r>
              <w:rPr>
                <w:sz w:val="21"/>
              </w:rPr>
              <w:t>双轮双振</w:t>
            </w:r>
          </w:p>
          <w:p>
            <w:pPr>
              <w:pStyle w:val="TableParagraph"/>
              <w:spacing w:line="273" w:lineRule="exact"/>
              <w:ind w:left="147" w:right="30"/>
              <w:rPr>
                <w:sz w:val="21"/>
              </w:rPr>
            </w:pPr>
            <w:r>
              <w:rPr>
                <w:sz w:val="21"/>
              </w:rPr>
              <w:t>压路机</w:t>
            </w:r>
          </w:p>
        </w:tc>
        <w:tc>
          <w:tcPr>
            <w:tcW w:w="1162" w:type="dxa"/>
          </w:tcPr>
          <w:p>
            <w:pPr>
              <w:pStyle w:val="TableParagraph"/>
              <w:spacing w:before="102"/>
              <w:ind w:left="105" w:right="104"/>
              <w:rPr>
                <w:sz w:val="21"/>
              </w:rPr>
            </w:pPr>
            <w:r>
              <w:rPr>
                <w:rFonts w:ascii="Times New Roman" w:eastAsia="Times New Roman"/>
                <w:sz w:val="21"/>
              </w:rPr>
              <w:t>CC21 </w:t>
            </w:r>
            <w:r>
              <w:rPr>
                <w:sz w:val="21"/>
              </w:rPr>
              <w:t>型</w:t>
            </w: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left="2"/>
              <w:rPr>
                <w:rFonts w:ascii="Times New Roman"/>
                <w:sz w:val="21"/>
              </w:rPr>
            </w:pPr>
            <w:r>
              <w:rPr>
                <w:rFonts w:ascii="Times New Roman"/>
                <w:sz w:val="21"/>
              </w:rPr>
              <w:t>69</w:t>
            </w:r>
          </w:p>
        </w:tc>
        <w:tc>
          <w:tcPr>
            <w:tcW w:w="518" w:type="dxa"/>
          </w:tcPr>
          <w:p>
            <w:pPr>
              <w:pStyle w:val="TableParagraph"/>
              <w:spacing w:before="147"/>
              <w:ind w:right="167"/>
              <w:jc w:val="right"/>
              <w:rPr>
                <w:rFonts w:ascii="Times New Roman"/>
                <w:sz w:val="21"/>
              </w:rPr>
            </w:pPr>
            <w:r>
              <w:rPr>
                <w:rFonts w:ascii="Times New Roman"/>
                <w:sz w:val="21"/>
              </w:rPr>
              <w:t>65</w:t>
            </w:r>
          </w:p>
        </w:tc>
        <w:tc>
          <w:tcPr>
            <w:tcW w:w="521" w:type="dxa"/>
          </w:tcPr>
          <w:p>
            <w:pPr>
              <w:pStyle w:val="TableParagraph"/>
              <w:spacing w:before="147"/>
              <w:ind w:right="168"/>
              <w:jc w:val="right"/>
              <w:rPr>
                <w:rFonts w:ascii="Times New Roman"/>
                <w:sz w:val="21"/>
              </w:rPr>
            </w:pPr>
            <w:r>
              <w:rPr>
                <w:rFonts w:ascii="Times New Roman"/>
                <w:sz w:val="21"/>
              </w:rPr>
              <w:t>59</w:t>
            </w:r>
          </w:p>
        </w:tc>
        <w:tc>
          <w:tcPr>
            <w:tcW w:w="519" w:type="dxa"/>
          </w:tcPr>
          <w:p>
            <w:pPr>
              <w:pStyle w:val="TableParagraph"/>
              <w:spacing w:before="147"/>
              <w:ind w:left="165"/>
              <w:jc w:val="left"/>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170"/>
              <w:jc w:val="left"/>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2" w:right="115"/>
              <w:rPr>
                <w:rFonts w:ascii="Times New Roman"/>
                <w:sz w:val="21"/>
              </w:rPr>
            </w:pPr>
            <w:r>
              <w:rPr>
                <w:rFonts w:ascii="Times New Roman"/>
                <w:sz w:val="21"/>
              </w:rPr>
              <w:t>45</w:t>
            </w:r>
          </w:p>
        </w:tc>
      </w:tr>
      <w:tr>
        <w:trPr>
          <w:trHeight w:val="554" w:hRule="exact"/>
        </w:trPr>
        <w:tc>
          <w:tcPr>
            <w:tcW w:w="1279" w:type="dxa"/>
          </w:tcPr>
          <w:p>
            <w:pPr>
              <w:pStyle w:val="TableParagraph"/>
              <w:spacing w:line="239" w:lineRule="exact"/>
              <w:ind w:left="142" w:right="32"/>
              <w:rPr>
                <w:sz w:val="21"/>
              </w:rPr>
            </w:pPr>
            <w:r>
              <w:rPr>
                <w:sz w:val="21"/>
              </w:rPr>
              <w:t>三轮压路</w:t>
            </w:r>
          </w:p>
          <w:p>
            <w:pPr>
              <w:pStyle w:val="TableParagraph"/>
              <w:spacing w:line="273" w:lineRule="exact"/>
              <w:ind w:left="107"/>
              <w:rPr>
                <w:sz w:val="21"/>
              </w:rPr>
            </w:pPr>
            <w:r>
              <w:rPr>
                <w:w w:val="100"/>
                <w:sz w:val="21"/>
              </w:rPr>
              <w:t>机</w:t>
            </w:r>
          </w:p>
        </w:tc>
        <w:tc>
          <w:tcPr>
            <w:tcW w:w="1162" w:type="dxa"/>
          </w:tcPr>
          <w:p>
            <w:pPr/>
          </w:p>
        </w:tc>
        <w:tc>
          <w:tcPr>
            <w:tcW w:w="386" w:type="dxa"/>
          </w:tcPr>
          <w:p>
            <w:pPr>
              <w:pStyle w:val="TableParagraph"/>
              <w:spacing w:before="144"/>
              <w:ind w:left="2"/>
              <w:rPr>
                <w:rFonts w:ascii="Times New Roman"/>
                <w:sz w:val="21"/>
              </w:rPr>
            </w:pPr>
            <w:r>
              <w:rPr>
                <w:rFonts w:ascii="Times New Roman"/>
                <w:sz w:val="21"/>
              </w:rPr>
              <w:t>75</w:t>
            </w:r>
          </w:p>
        </w:tc>
        <w:tc>
          <w:tcPr>
            <w:tcW w:w="386" w:type="dxa"/>
          </w:tcPr>
          <w:p>
            <w:pPr>
              <w:pStyle w:val="TableParagraph"/>
              <w:spacing w:before="144"/>
              <w:ind w:left="2"/>
              <w:rPr>
                <w:rFonts w:ascii="Times New Roman"/>
                <w:sz w:val="21"/>
              </w:rPr>
            </w:pPr>
            <w:r>
              <w:rPr>
                <w:rFonts w:ascii="Times New Roman"/>
                <w:sz w:val="21"/>
              </w:rPr>
              <w:t>69</w:t>
            </w:r>
          </w:p>
        </w:tc>
        <w:tc>
          <w:tcPr>
            <w:tcW w:w="518" w:type="dxa"/>
          </w:tcPr>
          <w:p>
            <w:pPr>
              <w:pStyle w:val="TableParagraph"/>
              <w:spacing w:before="144"/>
              <w:ind w:right="167"/>
              <w:jc w:val="right"/>
              <w:rPr>
                <w:rFonts w:ascii="Times New Roman"/>
                <w:sz w:val="21"/>
              </w:rPr>
            </w:pPr>
            <w:r>
              <w:rPr>
                <w:rFonts w:ascii="Times New Roman"/>
                <w:sz w:val="21"/>
              </w:rPr>
              <w:t>65</w:t>
            </w:r>
          </w:p>
        </w:tc>
        <w:tc>
          <w:tcPr>
            <w:tcW w:w="521" w:type="dxa"/>
          </w:tcPr>
          <w:p>
            <w:pPr>
              <w:pStyle w:val="TableParagraph"/>
              <w:spacing w:before="144"/>
              <w:ind w:right="168"/>
              <w:jc w:val="right"/>
              <w:rPr>
                <w:rFonts w:ascii="Times New Roman"/>
                <w:sz w:val="21"/>
              </w:rPr>
            </w:pPr>
            <w:r>
              <w:rPr>
                <w:rFonts w:ascii="Times New Roman"/>
                <w:sz w:val="21"/>
              </w:rPr>
              <w:t>59</w:t>
            </w:r>
          </w:p>
        </w:tc>
        <w:tc>
          <w:tcPr>
            <w:tcW w:w="519" w:type="dxa"/>
          </w:tcPr>
          <w:p>
            <w:pPr>
              <w:pStyle w:val="TableParagraph"/>
              <w:spacing w:before="144"/>
              <w:ind w:left="165"/>
              <w:jc w:val="left"/>
              <w:rPr>
                <w:rFonts w:ascii="Times New Roman"/>
                <w:sz w:val="21"/>
              </w:rPr>
            </w:pPr>
            <w:r>
              <w:rPr>
                <w:rFonts w:ascii="Times New Roman"/>
                <w:sz w:val="21"/>
              </w:rPr>
              <w:t>56</w:t>
            </w:r>
          </w:p>
        </w:tc>
        <w:tc>
          <w:tcPr>
            <w:tcW w:w="518" w:type="dxa"/>
          </w:tcPr>
          <w:p>
            <w:pPr>
              <w:pStyle w:val="TableParagraph"/>
              <w:spacing w:before="144"/>
              <w:rPr>
                <w:rFonts w:ascii="Times New Roman"/>
                <w:sz w:val="21"/>
              </w:rPr>
            </w:pPr>
            <w:r>
              <w:rPr>
                <w:rFonts w:ascii="Times New Roman"/>
                <w:sz w:val="21"/>
              </w:rPr>
              <w:t>53</w:t>
            </w:r>
          </w:p>
        </w:tc>
        <w:tc>
          <w:tcPr>
            <w:tcW w:w="518" w:type="dxa"/>
          </w:tcPr>
          <w:p>
            <w:pPr>
              <w:pStyle w:val="TableParagraph"/>
              <w:spacing w:before="144"/>
              <w:rPr>
                <w:rFonts w:ascii="Times New Roman"/>
                <w:sz w:val="21"/>
              </w:rPr>
            </w:pPr>
            <w:r>
              <w:rPr>
                <w:rFonts w:ascii="Times New Roman"/>
                <w:sz w:val="21"/>
              </w:rPr>
              <w:t>51</w:t>
            </w:r>
          </w:p>
        </w:tc>
        <w:tc>
          <w:tcPr>
            <w:tcW w:w="521" w:type="dxa"/>
          </w:tcPr>
          <w:p>
            <w:pPr>
              <w:pStyle w:val="TableParagraph"/>
              <w:spacing w:before="144"/>
              <w:ind w:left="170"/>
              <w:jc w:val="left"/>
              <w:rPr>
                <w:rFonts w:ascii="Times New Roman"/>
                <w:sz w:val="21"/>
              </w:rPr>
            </w:pPr>
            <w:r>
              <w:rPr>
                <w:rFonts w:ascii="Times New Roman"/>
                <w:sz w:val="21"/>
              </w:rPr>
              <w:t>50</w:t>
            </w:r>
          </w:p>
        </w:tc>
        <w:tc>
          <w:tcPr>
            <w:tcW w:w="518" w:type="dxa"/>
          </w:tcPr>
          <w:p>
            <w:pPr>
              <w:pStyle w:val="TableParagraph"/>
              <w:spacing w:before="144"/>
              <w:rPr>
                <w:rFonts w:ascii="Times New Roman"/>
                <w:sz w:val="21"/>
              </w:rPr>
            </w:pPr>
            <w:r>
              <w:rPr>
                <w:rFonts w:ascii="Times New Roman"/>
                <w:sz w:val="21"/>
              </w:rPr>
              <w:t>49</w:t>
            </w:r>
          </w:p>
        </w:tc>
        <w:tc>
          <w:tcPr>
            <w:tcW w:w="521" w:type="dxa"/>
          </w:tcPr>
          <w:p>
            <w:pPr>
              <w:pStyle w:val="TableParagraph"/>
              <w:spacing w:before="144"/>
              <w:ind w:left="10" w:right="11"/>
              <w:rPr>
                <w:rFonts w:ascii="Times New Roman"/>
                <w:sz w:val="21"/>
              </w:rPr>
            </w:pPr>
            <w:r>
              <w:rPr>
                <w:rFonts w:ascii="Times New Roman"/>
                <w:sz w:val="21"/>
              </w:rPr>
              <w:t>47</w:t>
            </w:r>
          </w:p>
        </w:tc>
        <w:tc>
          <w:tcPr>
            <w:tcW w:w="518" w:type="dxa"/>
          </w:tcPr>
          <w:p>
            <w:pPr>
              <w:pStyle w:val="TableParagraph"/>
              <w:spacing w:before="144"/>
              <w:ind w:left="13" w:right="15"/>
              <w:rPr>
                <w:rFonts w:ascii="Times New Roman"/>
                <w:sz w:val="21"/>
              </w:rPr>
            </w:pPr>
            <w:r>
              <w:rPr>
                <w:rFonts w:ascii="Times New Roman"/>
                <w:sz w:val="21"/>
              </w:rPr>
              <w:t>46</w:t>
            </w:r>
          </w:p>
        </w:tc>
        <w:tc>
          <w:tcPr>
            <w:tcW w:w="643" w:type="dxa"/>
          </w:tcPr>
          <w:p>
            <w:pPr>
              <w:pStyle w:val="TableParagraph"/>
              <w:spacing w:before="144"/>
              <w:ind w:left="12" w:right="115"/>
              <w:rPr>
                <w:rFonts w:ascii="Times New Roman"/>
                <w:sz w:val="21"/>
              </w:rPr>
            </w:pPr>
            <w:r>
              <w:rPr>
                <w:rFonts w:ascii="Times New Roman"/>
                <w:sz w:val="21"/>
              </w:rPr>
              <w:t>45</w:t>
            </w:r>
          </w:p>
        </w:tc>
      </w:tr>
      <w:tr>
        <w:trPr>
          <w:trHeight w:val="554" w:hRule="exact"/>
        </w:trPr>
        <w:tc>
          <w:tcPr>
            <w:tcW w:w="1279" w:type="dxa"/>
          </w:tcPr>
          <w:p>
            <w:pPr>
              <w:pStyle w:val="TableParagraph"/>
              <w:spacing w:line="239" w:lineRule="exact"/>
              <w:ind w:left="142" w:right="32"/>
              <w:rPr>
                <w:sz w:val="21"/>
              </w:rPr>
            </w:pPr>
            <w:r>
              <w:rPr>
                <w:sz w:val="21"/>
              </w:rPr>
              <w:t>轮胎压路</w:t>
            </w:r>
          </w:p>
          <w:p>
            <w:pPr>
              <w:pStyle w:val="TableParagraph"/>
              <w:spacing w:line="273" w:lineRule="exact"/>
              <w:ind w:left="107"/>
              <w:rPr>
                <w:sz w:val="21"/>
              </w:rPr>
            </w:pPr>
            <w:r>
              <w:rPr>
                <w:w w:val="100"/>
                <w:sz w:val="21"/>
              </w:rPr>
              <w:t>机</w:t>
            </w:r>
          </w:p>
        </w:tc>
        <w:tc>
          <w:tcPr>
            <w:tcW w:w="1162" w:type="dxa"/>
          </w:tcPr>
          <w:p>
            <w:pPr>
              <w:pStyle w:val="TableParagraph"/>
              <w:spacing w:before="102"/>
              <w:ind w:left="105" w:right="105"/>
              <w:rPr>
                <w:sz w:val="21"/>
              </w:rPr>
            </w:pPr>
            <w:r>
              <w:rPr>
                <w:rFonts w:ascii="Times New Roman" w:eastAsia="Times New Roman"/>
                <w:sz w:val="21"/>
              </w:rPr>
              <w:t>ZL16 </w:t>
            </w:r>
            <w:r>
              <w:rPr>
                <w:sz w:val="21"/>
              </w:rPr>
              <w:t>型</w:t>
            </w:r>
          </w:p>
        </w:tc>
        <w:tc>
          <w:tcPr>
            <w:tcW w:w="386" w:type="dxa"/>
          </w:tcPr>
          <w:p>
            <w:pPr>
              <w:pStyle w:val="TableParagraph"/>
              <w:spacing w:before="144"/>
              <w:ind w:left="2"/>
              <w:rPr>
                <w:rFonts w:ascii="Times New Roman"/>
                <w:sz w:val="21"/>
              </w:rPr>
            </w:pPr>
            <w:r>
              <w:rPr>
                <w:rFonts w:ascii="Times New Roman"/>
                <w:sz w:val="21"/>
              </w:rPr>
              <w:t>70</w:t>
            </w:r>
          </w:p>
        </w:tc>
        <w:tc>
          <w:tcPr>
            <w:tcW w:w="386" w:type="dxa"/>
          </w:tcPr>
          <w:p>
            <w:pPr>
              <w:pStyle w:val="TableParagraph"/>
              <w:spacing w:before="144"/>
              <w:ind w:left="2"/>
              <w:rPr>
                <w:rFonts w:ascii="Times New Roman"/>
                <w:sz w:val="21"/>
              </w:rPr>
            </w:pPr>
            <w:r>
              <w:rPr>
                <w:rFonts w:ascii="Times New Roman"/>
                <w:sz w:val="21"/>
              </w:rPr>
              <w:t>64</w:t>
            </w:r>
          </w:p>
        </w:tc>
        <w:tc>
          <w:tcPr>
            <w:tcW w:w="518" w:type="dxa"/>
          </w:tcPr>
          <w:p>
            <w:pPr>
              <w:pStyle w:val="TableParagraph"/>
              <w:spacing w:before="144"/>
              <w:ind w:right="167"/>
              <w:jc w:val="right"/>
              <w:rPr>
                <w:rFonts w:ascii="Times New Roman"/>
                <w:sz w:val="21"/>
              </w:rPr>
            </w:pPr>
            <w:r>
              <w:rPr>
                <w:rFonts w:ascii="Times New Roman"/>
                <w:sz w:val="21"/>
              </w:rPr>
              <w:t>60</w:t>
            </w:r>
          </w:p>
        </w:tc>
        <w:tc>
          <w:tcPr>
            <w:tcW w:w="521" w:type="dxa"/>
          </w:tcPr>
          <w:p>
            <w:pPr>
              <w:pStyle w:val="TableParagraph"/>
              <w:spacing w:before="144"/>
              <w:ind w:right="168"/>
              <w:jc w:val="right"/>
              <w:rPr>
                <w:rFonts w:ascii="Times New Roman"/>
                <w:sz w:val="21"/>
              </w:rPr>
            </w:pPr>
            <w:r>
              <w:rPr>
                <w:rFonts w:ascii="Times New Roman"/>
                <w:sz w:val="21"/>
              </w:rPr>
              <w:t>54</w:t>
            </w:r>
          </w:p>
        </w:tc>
        <w:tc>
          <w:tcPr>
            <w:tcW w:w="519" w:type="dxa"/>
          </w:tcPr>
          <w:p>
            <w:pPr>
              <w:pStyle w:val="TableParagraph"/>
              <w:spacing w:before="144"/>
              <w:ind w:left="165"/>
              <w:jc w:val="left"/>
              <w:rPr>
                <w:rFonts w:ascii="Times New Roman"/>
                <w:sz w:val="21"/>
              </w:rPr>
            </w:pPr>
            <w:r>
              <w:rPr>
                <w:rFonts w:ascii="Times New Roman"/>
                <w:sz w:val="21"/>
              </w:rPr>
              <w:t>51</w:t>
            </w:r>
          </w:p>
        </w:tc>
        <w:tc>
          <w:tcPr>
            <w:tcW w:w="518" w:type="dxa"/>
          </w:tcPr>
          <w:p>
            <w:pPr>
              <w:pStyle w:val="TableParagraph"/>
              <w:spacing w:before="144"/>
              <w:rPr>
                <w:rFonts w:ascii="Times New Roman"/>
                <w:sz w:val="21"/>
              </w:rPr>
            </w:pPr>
            <w:r>
              <w:rPr>
                <w:rFonts w:ascii="Times New Roman"/>
                <w:sz w:val="21"/>
              </w:rPr>
              <w:t>48</w:t>
            </w:r>
          </w:p>
        </w:tc>
        <w:tc>
          <w:tcPr>
            <w:tcW w:w="518" w:type="dxa"/>
          </w:tcPr>
          <w:p>
            <w:pPr>
              <w:pStyle w:val="TableParagraph"/>
              <w:spacing w:before="144"/>
              <w:rPr>
                <w:rFonts w:ascii="Times New Roman"/>
                <w:sz w:val="21"/>
              </w:rPr>
            </w:pPr>
            <w:r>
              <w:rPr>
                <w:rFonts w:ascii="Times New Roman"/>
                <w:sz w:val="21"/>
              </w:rPr>
              <w:t>46</w:t>
            </w:r>
          </w:p>
        </w:tc>
        <w:tc>
          <w:tcPr>
            <w:tcW w:w="521" w:type="dxa"/>
          </w:tcPr>
          <w:p>
            <w:pPr>
              <w:pStyle w:val="TableParagraph"/>
              <w:spacing w:before="144"/>
              <w:ind w:left="170"/>
              <w:jc w:val="left"/>
              <w:rPr>
                <w:rFonts w:ascii="Times New Roman"/>
                <w:sz w:val="21"/>
              </w:rPr>
            </w:pPr>
            <w:r>
              <w:rPr>
                <w:rFonts w:ascii="Times New Roman"/>
                <w:sz w:val="21"/>
              </w:rPr>
              <w:t>45</w:t>
            </w:r>
          </w:p>
        </w:tc>
        <w:tc>
          <w:tcPr>
            <w:tcW w:w="518" w:type="dxa"/>
          </w:tcPr>
          <w:p>
            <w:pPr>
              <w:pStyle w:val="TableParagraph"/>
              <w:spacing w:before="144"/>
              <w:rPr>
                <w:rFonts w:ascii="Times New Roman"/>
                <w:sz w:val="21"/>
              </w:rPr>
            </w:pPr>
            <w:r>
              <w:rPr>
                <w:rFonts w:ascii="Times New Roman"/>
                <w:sz w:val="21"/>
              </w:rPr>
              <w:t>44</w:t>
            </w:r>
          </w:p>
        </w:tc>
        <w:tc>
          <w:tcPr>
            <w:tcW w:w="521" w:type="dxa"/>
          </w:tcPr>
          <w:p>
            <w:pPr>
              <w:pStyle w:val="TableParagraph"/>
              <w:spacing w:before="144"/>
              <w:ind w:left="10" w:right="11"/>
              <w:rPr>
                <w:rFonts w:ascii="Times New Roman"/>
                <w:sz w:val="21"/>
              </w:rPr>
            </w:pPr>
            <w:r>
              <w:rPr>
                <w:rFonts w:ascii="Times New Roman"/>
                <w:sz w:val="21"/>
              </w:rPr>
              <w:t>42</w:t>
            </w:r>
          </w:p>
        </w:tc>
        <w:tc>
          <w:tcPr>
            <w:tcW w:w="518" w:type="dxa"/>
          </w:tcPr>
          <w:p>
            <w:pPr>
              <w:pStyle w:val="TableParagraph"/>
              <w:spacing w:before="144"/>
              <w:ind w:left="13" w:right="15"/>
              <w:rPr>
                <w:rFonts w:ascii="Times New Roman"/>
                <w:sz w:val="21"/>
              </w:rPr>
            </w:pPr>
            <w:r>
              <w:rPr>
                <w:rFonts w:ascii="Times New Roman"/>
                <w:sz w:val="21"/>
              </w:rPr>
              <w:t>41</w:t>
            </w:r>
          </w:p>
        </w:tc>
        <w:tc>
          <w:tcPr>
            <w:tcW w:w="643" w:type="dxa"/>
          </w:tcPr>
          <w:p>
            <w:pPr>
              <w:pStyle w:val="TableParagraph"/>
              <w:spacing w:before="144"/>
              <w:ind w:left="12" w:right="115"/>
              <w:rPr>
                <w:rFonts w:ascii="Times New Roman"/>
                <w:sz w:val="21"/>
              </w:rPr>
            </w:pPr>
            <w:r>
              <w:rPr>
                <w:rFonts w:ascii="Times New Roman"/>
                <w:sz w:val="21"/>
              </w:rPr>
              <w:t>40</w:t>
            </w:r>
          </w:p>
        </w:tc>
      </w:tr>
      <w:tr>
        <w:trPr>
          <w:trHeight w:val="281" w:hRule="exact"/>
        </w:trPr>
        <w:tc>
          <w:tcPr>
            <w:tcW w:w="1279" w:type="dxa"/>
          </w:tcPr>
          <w:p>
            <w:pPr>
              <w:pStyle w:val="TableParagraph"/>
              <w:spacing w:line="241" w:lineRule="exact"/>
              <w:ind w:right="263"/>
              <w:jc w:val="right"/>
              <w:rPr>
                <w:sz w:val="21"/>
              </w:rPr>
            </w:pPr>
            <w:r>
              <w:rPr>
                <w:sz w:val="21"/>
              </w:rPr>
              <w:t>推土机</w:t>
            </w:r>
          </w:p>
        </w:tc>
        <w:tc>
          <w:tcPr>
            <w:tcW w:w="1162" w:type="dxa"/>
          </w:tcPr>
          <w:p>
            <w:pPr>
              <w:pStyle w:val="TableParagraph"/>
              <w:spacing w:line="257" w:lineRule="exact"/>
              <w:ind w:left="105" w:right="104"/>
              <w:rPr>
                <w:sz w:val="21"/>
              </w:rPr>
            </w:pPr>
            <w:r>
              <w:rPr>
                <w:rFonts w:ascii="Times New Roman" w:eastAsia="Times New Roman"/>
                <w:sz w:val="21"/>
              </w:rPr>
              <w:t>T140 </w:t>
            </w:r>
            <w:r>
              <w:rPr>
                <w:sz w:val="21"/>
              </w:rPr>
              <w:t>型</w:t>
            </w:r>
          </w:p>
        </w:tc>
        <w:tc>
          <w:tcPr>
            <w:tcW w:w="386" w:type="dxa"/>
          </w:tcPr>
          <w:p>
            <w:pPr>
              <w:pStyle w:val="TableParagraph"/>
              <w:spacing w:before="8"/>
              <w:ind w:left="2"/>
              <w:rPr>
                <w:rFonts w:ascii="Times New Roman"/>
                <w:sz w:val="21"/>
              </w:rPr>
            </w:pPr>
            <w:r>
              <w:rPr>
                <w:rFonts w:ascii="Times New Roman"/>
                <w:sz w:val="21"/>
              </w:rPr>
              <w:t>80</w:t>
            </w:r>
          </w:p>
        </w:tc>
        <w:tc>
          <w:tcPr>
            <w:tcW w:w="386" w:type="dxa"/>
          </w:tcPr>
          <w:p>
            <w:pPr>
              <w:pStyle w:val="TableParagraph"/>
              <w:spacing w:before="8"/>
              <w:ind w:left="2"/>
              <w:rPr>
                <w:rFonts w:ascii="Times New Roman"/>
                <w:sz w:val="21"/>
              </w:rPr>
            </w:pPr>
            <w:r>
              <w:rPr>
                <w:rFonts w:ascii="Times New Roman"/>
                <w:sz w:val="21"/>
              </w:rPr>
              <w:t>74</w:t>
            </w:r>
          </w:p>
        </w:tc>
        <w:tc>
          <w:tcPr>
            <w:tcW w:w="518" w:type="dxa"/>
          </w:tcPr>
          <w:p>
            <w:pPr>
              <w:pStyle w:val="TableParagraph"/>
              <w:spacing w:before="8"/>
              <w:ind w:right="167"/>
              <w:jc w:val="right"/>
              <w:rPr>
                <w:rFonts w:ascii="Times New Roman"/>
                <w:sz w:val="21"/>
              </w:rPr>
            </w:pPr>
            <w:r>
              <w:rPr>
                <w:rFonts w:ascii="Times New Roman"/>
                <w:sz w:val="21"/>
              </w:rPr>
              <w:t>70</w:t>
            </w:r>
          </w:p>
        </w:tc>
        <w:tc>
          <w:tcPr>
            <w:tcW w:w="521" w:type="dxa"/>
          </w:tcPr>
          <w:p>
            <w:pPr>
              <w:pStyle w:val="TableParagraph"/>
              <w:spacing w:before="8"/>
              <w:ind w:right="168"/>
              <w:jc w:val="right"/>
              <w:rPr>
                <w:rFonts w:ascii="Times New Roman"/>
                <w:sz w:val="21"/>
              </w:rPr>
            </w:pPr>
            <w:r>
              <w:rPr>
                <w:rFonts w:ascii="Times New Roman"/>
                <w:sz w:val="21"/>
              </w:rPr>
              <w:t>64</w:t>
            </w:r>
          </w:p>
        </w:tc>
        <w:tc>
          <w:tcPr>
            <w:tcW w:w="519" w:type="dxa"/>
          </w:tcPr>
          <w:p>
            <w:pPr>
              <w:pStyle w:val="TableParagraph"/>
              <w:spacing w:before="8"/>
              <w:ind w:left="165"/>
              <w:jc w:val="left"/>
              <w:rPr>
                <w:rFonts w:ascii="Times New Roman"/>
                <w:sz w:val="21"/>
              </w:rPr>
            </w:pPr>
            <w:r>
              <w:rPr>
                <w:rFonts w:ascii="Times New Roman"/>
                <w:sz w:val="21"/>
              </w:rPr>
              <w:t>61</w:t>
            </w:r>
          </w:p>
        </w:tc>
        <w:tc>
          <w:tcPr>
            <w:tcW w:w="518" w:type="dxa"/>
          </w:tcPr>
          <w:p>
            <w:pPr>
              <w:pStyle w:val="TableParagraph"/>
              <w:spacing w:before="8"/>
              <w:rPr>
                <w:rFonts w:ascii="Times New Roman"/>
                <w:sz w:val="21"/>
              </w:rPr>
            </w:pPr>
            <w:r>
              <w:rPr>
                <w:rFonts w:ascii="Times New Roman"/>
                <w:sz w:val="21"/>
              </w:rPr>
              <w:t>58</w:t>
            </w:r>
          </w:p>
        </w:tc>
        <w:tc>
          <w:tcPr>
            <w:tcW w:w="518" w:type="dxa"/>
          </w:tcPr>
          <w:p>
            <w:pPr>
              <w:pStyle w:val="TableParagraph"/>
              <w:spacing w:before="8"/>
              <w:rPr>
                <w:rFonts w:ascii="Times New Roman"/>
                <w:sz w:val="21"/>
              </w:rPr>
            </w:pPr>
            <w:r>
              <w:rPr>
                <w:rFonts w:ascii="Times New Roman"/>
                <w:sz w:val="21"/>
              </w:rPr>
              <w:t>56</w:t>
            </w:r>
          </w:p>
        </w:tc>
        <w:tc>
          <w:tcPr>
            <w:tcW w:w="521" w:type="dxa"/>
          </w:tcPr>
          <w:p>
            <w:pPr>
              <w:pStyle w:val="TableParagraph"/>
              <w:spacing w:before="8"/>
              <w:ind w:left="170"/>
              <w:jc w:val="left"/>
              <w:rPr>
                <w:rFonts w:ascii="Times New Roman"/>
                <w:sz w:val="21"/>
              </w:rPr>
            </w:pPr>
            <w:r>
              <w:rPr>
                <w:rFonts w:ascii="Times New Roman"/>
                <w:sz w:val="21"/>
              </w:rPr>
              <w:t>55</w:t>
            </w:r>
          </w:p>
        </w:tc>
        <w:tc>
          <w:tcPr>
            <w:tcW w:w="518" w:type="dxa"/>
          </w:tcPr>
          <w:p>
            <w:pPr>
              <w:pStyle w:val="TableParagraph"/>
              <w:spacing w:before="8"/>
              <w:rPr>
                <w:rFonts w:ascii="Times New Roman"/>
                <w:sz w:val="21"/>
              </w:rPr>
            </w:pPr>
            <w:r>
              <w:rPr>
                <w:rFonts w:ascii="Times New Roman"/>
                <w:sz w:val="21"/>
              </w:rPr>
              <w:t>54</w:t>
            </w:r>
          </w:p>
        </w:tc>
        <w:tc>
          <w:tcPr>
            <w:tcW w:w="521" w:type="dxa"/>
          </w:tcPr>
          <w:p>
            <w:pPr>
              <w:pStyle w:val="TableParagraph"/>
              <w:spacing w:before="8"/>
              <w:ind w:left="10" w:right="11"/>
              <w:rPr>
                <w:rFonts w:ascii="Times New Roman"/>
                <w:sz w:val="21"/>
              </w:rPr>
            </w:pPr>
            <w:r>
              <w:rPr>
                <w:rFonts w:ascii="Times New Roman"/>
                <w:sz w:val="21"/>
              </w:rPr>
              <w:t>52</w:t>
            </w:r>
          </w:p>
        </w:tc>
        <w:tc>
          <w:tcPr>
            <w:tcW w:w="518" w:type="dxa"/>
          </w:tcPr>
          <w:p>
            <w:pPr>
              <w:pStyle w:val="TableParagraph"/>
              <w:spacing w:before="8"/>
              <w:ind w:left="13" w:right="15"/>
              <w:rPr>
                <w:rFonts w:ascii="Times New Roman"/>
                <w:sz w:val="21"/>
              </w:rPr>
            </w:pPr>
            <w:r>
              <w:rPr>
                <w:rFonts w:ascii="Times New Roman"/>
                <w:sz w:val="21"/>
              </w:rPr>
              <w:t>51</w:t>
            </w:r>
          </w:p>
        </w:tc>
        <w:tc>
          <w:tcPr>
            <w:tcW w:w="643" w:type="dxa"/>
          </w:tcPr>
          <w:p>
            <w:pPr>
              <w:pStyle w:val="TableParagraph"/>
              <w:spacing w:before="8"/>
              <w:ind w:left="12" w:right="115"/>
              <w:rPr>
                <w:rFonts w:ascii="Times New Roman"/>
                <w:sz w:val="21"/>
              </w:rPr>
            </w:pPr>
            <w:r>
              <w:rPr>
                <w:rFonts w:ascii="Times New Roman"/>
                <w:sz w:val="21"/>
              </w:rPr>
              <w:t>50</w:t>
            </w:r>
          </w:p>
        </w:tc>
      </w:tr>
      <w:tr>
        <w:trPr>
          <w:trHeight w:val="557" w:hRule="exact"/>
        </w:trPr>
        <w:tc>
          <w:tcPr>
            <w:tcW w:w="1279" w:type="dxa"/>
          </w:tcPr>
          <w:p>
            <w:pPr>
              <w:pStyle w:val="TableParagraph"/>
              <w:spacing w:line="241" w:lineRule="exact"/>
              <w:ind w:left="268"/>
              <w:jc w:val="left"/>
              <w:rPr>
                <w:sz w:val="21"/>
              </w:rPr>
            </w:pPr>
            <w:r>
              <w:rPr>
                <w:sz w:val="21"/>
              </w:rPr>
              <w:t>轮胎式液</w:t>
            </w:r>
          </w:p>
          <w:p>
            <w:pPr>
              <w:pStyle w:val="TableParagraph"/>
              <w:spacing w:line="273" w:lineRule="exact"/>
              <w:ind w:left="268"/>
              <w:jc w:val="left"/>
              <w:rPr>
                <w:sz w:val="21"/>
              </w:rPr>
            </w:pPr>
            <w:r>
              <w:rPr>
                <w:sz w:val="21"/>
              </w:rPr>
              <w:t>压挖掘机</w:t>
            </w:r>
          </w:p>
        </w:tc>
        <w:tc>
          <w:tcPr>
            <w:tcW w:w="1162" w:type="dxa"/>
          </w:tcPr>
          <w:p>
            <w:pPr>
              <w:pStyle w:val="TableParagraph"/>
              <w:spacing w:line="228" w:lineRule="exact" w:before="10"/>
              <w:ind w:left="105" w:right="106"/>
              <w:rPr>
                <w:rFonts w:ascii="Times New Roman"/>
                <w:sz w:val="21"/>
              </w:rPr>
            </w:pPr>
            <w:r>
              <w:rPr>
                <w:rFonts w:ascii="Times New Roman"/>
                <w:sz w:val="21"/>
              </w:rPr>
              <w:t>W4-60C</w:t>
            </w:r>
          </w:p>
          <w:p>
            <w:pPr>
              <w:pStyle w:val="TableParagraph"/>
              <w:spacing w:line="261" w:lineRule="exact"/>
              <w:rPr>
                <w:sz w:val="21"/>
              </w:rPr>
            </w:pPr>
            <w:r>
              <w:rPr>
                <w:w w:val="100"/>
                <w:sz w:val="21"/>
              </w:rPr>
              <w:t>型</w:t>
            </w:r>
          </w:p>
        </w:tc>
        <w:tc>
          <w:tcPr>
            <w:tcW w:w="386" w:type="dxa"/>
          </w:tcPr>
          <w:p>
            <w:pPr>
              <w:pStyle w:val="TableParagraph"/>
              <w:spacing w:before="147"/>
              <w:ind w:left="2"/>
              <w:rPr>
                <w:rFonts w:ascii="Times New Roman"/>
                <w:sz w:val="21"/>
              </w:rPr>
            </w:pPr>
            <w:r>
              <w:rPr>
                <w:rFonts w:ascii="Times New Roman"/>
                <w:sz w:val="21"/>
              </w:rPr>
              <w:t>78</w:t>
            </w:r>
          </w:p>
        </w:tc>
        <w:tc>
          <w:tcPr>
            <w:tcW w:w="386" w:type="dxa"/>
          </w:tcPr>
          <w:p>
            <w:pPr>
              <w:pStyle w:val="TableParagraph"/>
              <w:spacing w:before="147"/>
              <w:ind w:left="2"/>
              <w:rPr>
                <w:rFonts w:ascii="Times New Roman"/>
                <w:sz w:val="21"/>
              </w:rPr>
            </w:pPr>
            <w:r>
              <w:rPr>
                <w:rFonts w:ascii="Times New Roman"/>
                <w:sz w:val="21"/>
              </w:rPr>
              <w:t>72</w:t>
            </w:r>
          </w:p>
        </w:tc>
        <w:tc>
          <w:tcPr>
            <w:tcW w:w="518" w:type="dxa"/>
          </w:tcPr>
          <w:p>
            <w:pPr>
              <w:pStyle w:val="TableParagraph"/>
              <w:spacing w:before="147"/>
              <w:ind w:right="167"/>
              <w:jc w:val="right"/>
              <w:rPr>
                <w:rFonts w:ascii="Times New Roman"/>
                <w:sz w:val="21"/>
              </w:rPr>
            </w:pPr>
            <w:r>
              <w:rPr>
                <w:rFonts w:ascii="Times New Roman"/>
                <w:sz w:val="21"/>
              </w:rPr>
              <w:t>68</w:t>
            </w:r>
          </w:p>
        </w:tc>
        <w:tc>
          <w:tcPr>
            <w:tcW w:w="521" w:type="dxa"/>
          </w:tcPr>
          <w:p>
            <w:pPr>
              <w:pStyle w:val="TableParagraph"/>
              <w:spacing w:before="147"/>
              <w:ind w:right="168"/>
              <w:jc w:val="right"/>
              <w:rPr>
                <w:rFonts w:ascii="Times New Roman"/>
                <w:sz w:val="21"/>
              </w:rPr>
            </w:pPr>
            <w:r>
              <w:rPr>
                <w:rFonts w:ascii="Times New Roman"/>
                <w:sz w:val="21"/>
              </w:rPr>
              <w:t>62</w:t>
            </w:r>
          </w:p>
        </w:tc>
        <w:tc>
          <w:tcPr>
            <w:tcW w:w="519" w:type="dxa"/>
          </w:tcPr>
          <w:p>
            <w:pPr>
              <w:pStyle w:val="TableParagraph"/>
              <w:spacing w:before="147"/>
              <w:ind w:left="165"/>
              <w:jc w:val="left"/>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54</w:t>
            </w:r>
          </w:p>
        </w:tc>
        <w:tc>
          <w:tcPr>
            <w:tcW w:w="521" w:type="dxa"/>
          </w:tcPr>
          <w:p>
            <w:pPr>
              <w:pStyle w:val="TableParagraph"/>
              <w:spacing w:before="147"/>
              <w:ind w:left="170"/>
              <w:jc w:val="left"/>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52</w:t>
            </w:r>
          </w:p>
        </w:tc>
        <w:tc>
          <w:tcPr>
            <w:tcW w:w="521" w:type="dxa"/>
          </w:tcPr>
          <w:p>
            <w:pPr>
              <w:pStyle w:val="TableParagraph"/>
              <w:spacing w:before="147"/>
              <w:ind w:left="10" w:right="11"/>
              <w:rPr>
                <w:rFonts w:ascii="Times New Roman"/>
                <w:sz w:val="21"/>
              </w:rPr>
            </w:pPr>
            <w:r>
              <w:rPr>
                <w:rFonts w:ascii="Times New Roman"/>
                <w:sz w:val="21"/>
              </w:rPr>
              <w:t>50</w:t>
            </w:r>
          </w:p>
        </w:tc>
        <w:tc>
          <w:tcPr>
            <w:tcW w:w="518" w:type="dxa"/>
          </w:tcPr>
          <w:p>
            <w:pPr>
              <w:pStyle w:val="TableParagraph"/>
              <w:spacing w:before="147"/>
              <w:ind w:left="13" w:right="15"/>
              <w:rPr>
                <w:rFonts w:ascii="Times New Roman"/>
                <w:sz w:val="21"/>
              </w:rPr>
            </w:pPr>
            <w:r>
              <w:rPr>
                <w:rFonts w:ascii="Times New Roman"/>
                <w:sz w:val="21"/>
              </w:rPr>
              <w:t>49</w:t>
            </w:r>
          </w:p>
        </w:tc>
        <w:tc>
          <w:tcPr>
            <w:tcW w:w="643" w:type="dxa"/>
          </w:tcPr>
          <w:p>
            <w:pPr>
              <w:pStyle w:val="TableParagraph"/>
              <w:spacing w:before="147"/>
              <w:ind w:left="12" w:right="115"/>
              <w:rPr>
                <w:rFonts w:ascii="Times New Roman"/>
                <w:sz w:val="21"/>
              </w:rPr>
            </w:pPr>
            <w:r>
              <w:rPr>
                <w:rFonts w:ascii="Times New Roman"/>
                <w:sz w:val="21"/>
              </w:rPr>
              <w:t>48</w:t>
            </w:r>
          </w:p>
        </w:tc>
      </w:tr>
      <w:tr>
        <w:trPr>
          <w:trHeight w:val="554" w:hRule="exact"/>
        </w:trPr>
        <w:tc>
          <w:tcPr>
            <w:tcW w:w="1279" w:type="dxa"/>
          </w:tcPr>
          <w:p>
            <w:pPr>
              <w:pStyle w:val="TableParagraph"/>
              <w:spacing w:line="239" w:lineRule="exact"/>
              <w:ind w:left="147" w:right="32"/>
              <w:rPr>
                <w:sz w:val="21"/>
              </w:rPr>
            </w:pPr>
            <w:r>
              <w:rPr>
                <w:sz w:val="21"/>
              </w:rPr>
              <w:t>冲击式钻井</w:t>
            </w:r>
          </w:p>
          <w:p>
            <w:pPr>
              <w:pStyle w:val="TableParagraph"/>
              <w:spacing w:line="273" w:lineRule="exact"/>
              <w:ind w:left="213"/>
              <w:rPr>
                <w:sz w:val="21"/>
              </w:rPr>
            </w:pPr>
            <w:r>
              <w:rPr>
                <w:w w:val="100"/>
                <w:sz w:val="21"/>
              </w:rPr>
              <w:t>机</w:t>
            </w:r>
          </w:p>
        </w:tc>
        <w:tc>
          <w:tcPr>
            <w:tcW w:w="1162" w:type="dxa"/>
          </w:tcPr>
          <w:p>
            <w:pPr>
              <w:pStyle w:val="TableParagraph"/>
              <w:spacing w:before="100"/>
              <w:ind w:left="105" w:right="105"/>
              <w:rPr>
                <w:sz w:val="21"/>
              </w:rPr>
            </w:pPr>
            <w:r>
              <w:rPr>
                <w:rFonts w:ascii="Times New Roman" w:eastAsia="Times New Roman"/>
                <w:sz w:val="21"/>
              </w:rPr>
              <w:t>22 </w:t>
            </w:r>
            <w:r>
              <w:rPr>
                <w:sz w:val="21"/>
              </w:rPr>
              <w:t>型</w:t>
            </w:r>
          </w:p>
        </w:tc>
        <w:tc>
          <w:tcPr>
            <w:tcW w:w="386" w:type="dxa"/>
          </w:tcPr>
          <w:p>
            <w:pPr>
              <w:pStyle w:val="TableParagraph"/>
              <w:spacing w:before="144"/>
              <w:ind w:left="2"/>
              <w:rPr>
                <w:rFonts w:ascii="Times New Roman"/>
                <w:sz w:val="21"/>
              </w:rPr>
            </w:pPr>
            <w:r>
              <w:rPr>
                <w:rFonts w:ascii="Times New Roman"/>
                <w:sz w:val="21"/>
              </w:rPr>
              <w:t>81</w:t>
            </w:r>
          </w:p>
        </w:tc>
        <w:tc>
          <w:tcPr>
            <w:tcW w:w="386" w:type="dxa"/>
          </w:tcPr>
          <w:p>
            <w:pPr>
              <w:pStyle w:val="TableParagraph"/>
              <w:spacing w:before="144"/>
              <w:ind w:left="2"/>
              <w:rPr>
                <w:rFonts w:ascii="Times New Roman"/>
                <w:sz w:val="21"/>
              </w:rPr>
            </w:pPr>
            <w:r>
              <w:rPr>
                <w:rFonts w:ascii="Times New Roman"/>
                <w:sz w:val="21"/>
              </w:rPr>
              <w:t>75</w:t>
            </w:r>
          </w:p>
        </w:tc>
        <w:tc>
          <w:tcPr>
            <w:tcW w:w="518" w:type="dxa"/>
          </w:tcPr>
          <w:p>
            <w:pPr>
              <w:pStyle w:val="TableParagraph"/>
              <w:spacing w:before="144"/>
              <w:ind w:right="167"/>
              <w:jc w:val="right"/>
              <w:rPr>
                <w:rFonts w:ascii="Times New Roman"/>
                <w:sz w:val="21"/>
              </w:rPr>
            </w:pPr>
            <w:r>
              <w:rPr>
                <w:rFonts w:ascii="Times New Roman"/>
                <w:sz w:val="21"/>
              </w:rPr>
              <w:t>71</w:t>
            </w:r>
          </w:p>
        </w:tc>
        <w:tc>
          <w:tcPr>
            <w:tcW w:w="521" w:type="dxa"/>
          </w:tcPr>
          <w:p>
            <w:pPr>
              <w:pStyle w:val="TableParagraph"/>
              <w:spacing w:before="144"/>
              <w:ind w:right="168"/>
              <w:jc w:val="right"/>
              <w:rPr>
                <w:rFonts w:ascii="Times New Roman"/>
                <w:sz w:val="21"/>
              </w:rPr>
            </w:pPr>
            <w:r>
              <w:rPr>
                <w:rFonts w:ascii="Times New Roman"/>
                <w:sz w:val="21"/>
              </w:rPr>
              <w:t>65</w:t>
            </w:r>
          </w:p>
        </w:tc>
        <w:tc>
          <w:tcPr>
            <w:tcW w:w="519" w:type="dxa"/>
          </w:tcPr>
          <w:p>
            <w:pPr>
              <w:pStyle w:val="TableParagraph"/>
              <w:spacing w:before="144"/>
              <w:ind w:left="165"/>
              <w:jc w:val="left"/>
              <w:rPr>
                <w:rFonts w:ascii="Times New Roman"/>
                <w:sz w:val="21"/>
              </w:rPr>
            </w:pPr>
            <w:r>
              <w:rPr>
                <w:rFonts w:ascii="Times New Roman"/>
                <w:sz w:val="21"/>
              </w:rPr>
              <w:t>62</w:t>
            </w:r>
          </w:p>
        </w:tc>
        <w:tc>
          <w:tcPr>
            <w:tcW w:w="518" w:type="dxa"/>
          </w:tcPr>
          <w:p>
            <w:pPr>
              <w:pStyle w:val="TableParagraph"/>
              <w:spacing w:before="144"/>
              <w:rPr>
                <w:rFonts w:ascii="Times New Roman"/>
                <w:sz w:val="21"/>
              </w:rPr>
            </w:pPr>
            <w:r>
              <w:rPr>
                <w:rFonts w:ascii="Times New Roman"/>
                <w:sz w:val="21"/>
              </w:rPr>
              <w:t>59</w:t>
            </w:r>
          </w:p>
        </w:tc>
        <w:tc>
          <w:tcPr>
            <w:tcW w:w="518" w:type="dxa"/>
          </w:tcPr>
          <w:p>
            <w:pPr>
              <w:pStyle w:val="TableParagraph"/>
              <w:spacing w:before="144"/>
              <w:rPr>
                <w:rFonts w:ascii="Times New Roman"/>
                <w:sz w:val="21"/>
              </w:rPr>
            </w:pPr>
            <w:r>
              <w:rPr>
                <w:rFonts w:ascii="Times New Roman"/>
                <w:sz w:val="21"/>
              </w:rPr>
              <w:t>57</w:t>
            </w:r>
          </w:p>
        </w:tc>
        <w:tc>
          <w:tcPr>
            <w:tcW w:w="521" w:type="dxa"/>
          </w:tcPr>
          <w:p>
            <w:pPr>
              <w:pStyle w:val="TableParagraph"/>
              <w:spacing w:before="144"/>
              <w:ind w:left="170"/>
              <w:jc w:val="left"/>
              <w:rPr>
                <w:rFonts w:ascii="Times New Roman"/>
                <w:sz w:val="21"/>
              </w:rPr>
            </w:pPr>
            <w:r>
              <w:rPr>
                <w:rFonts w:ascii="Times New Roman"/>
                <w:sz w:val="21"/>
              </w:rPr>
              <w:t>56</w:t>
            </w:r>
          </w:p>
        </w:tc>
        <w:tc>
          <w:tcPr>
            <w:tcW w:w="518" w:type="dxa"/>
          </w:tcPr>
          <w:p>
            <w:pPr>
              <w:pStyle w:val="TableParagraph"/>
              <w:spacing w:before="144"/>
              <w:rPr>
                <w:rFonts w:ascii="Times New Roman"/>
                <w:sz w:val="21"/>
              </w:rPr>
            </w:pPr>
            <w:r>
              <w:rPr>
                <w:rFonts w:ascii="Times New Roman"/>
                <w:sz w:val="21"/>
              </w:rPr>
              <w:t>55</w:t>
            </w:r>
          </w:p>
        </w:tc>
        <w:tc>
          <w:tcPr>
            <w:tcW w:w="521" w:type="dxa"/>
          </w:tcPr>
          <w:p>
            <w:pPr>
              <w:pStyle w:val="TableParagraph"/>
              <w:spacing w:before="144"/>
              <w:ind w:left="10" w:right="11"/>
              <w:rPr>
                <w:rFonts w:ascii="Times New Roman"/>
                <w:sz w:val="21"/>
              </w:rPr>
            </w:pPr>
            <w:r>
              <w:rPr>
                <w:rFonts w:ascii="Times New Roman"/>
                <w:sz w:val="21"/>
              </w:rPr>
              <w:t>53</w:t>
            </w:r>
          </w:p>
        </w:tc>
        <w:tc>
          <w:tcPr>
            <w:tcW w:w="518" w:type="dxa"/>
          </w:tcPr>
          <w:p>
            <w:pPr>
              <w:pStyle w:val="TableParagraph"/>
              <w:spacing w:before="144"/>
              <w:ind w:left="13" w:right="15"/>
              <w:rPr>
                <w:rFonts w:ascii="Times New Roman"/>
                <w:sz w:val="21"/>
              </w:rPr>
            </w:pPr>
            <w:r>
              <w:rPr>
                <w:rFonts w:ascii="Times New Roman"/>
                <w:sz w:val="21"/>
              </w:rPr>
              <w:t>52</w:t>
            </w:r>
          </w:p>
        </w:tc>
        <w:tc>
          <w:tcPr>
            <w:tcW w:w="643" w:type="dxa"/>
          </w:tcPr>
          <w:p>
            <w:pPr>
              <w:pStyle w:val="TableParagraph"/>
              <w:spacing w:before="144"/>
              <w:ind w:left="12" w:right="115"/>
              <w:rPr>
                <w:rFonts w:ascii="Times New Roman"/>
                <w:sz w:val="21"/>
              </w:rPr>
            </w:pPr>
            <w:r>
              <w:rPr>
                <w:rFonts w:ascii="Times New Roman"/>
                <w:sz w:val="21"/>
              </w:rPr>
              <w:t>51</w:t>
            </w:r>
          </w:p>
        </w:tc>
      </w:tr>
      <w:tr>
        <w:trPr>
          <w:trHeight w:val="492" w:hRule="exact"/>
        </w:trPr>
        <w:tc>
          <w:tcPr>
            <w:tcW w:w="1279" w:type="dxa"/>
          </w:tcPr>
          <w:p>
            <w:pPr>
              <w:pStyle w:val="TableParagraph"/>
              <w:spacing w:before="71"/>
              <w:ind w:right="263"/>
              <w:jc w:val="right"/>
              <w:rPr>
                <w:sz w:val="21"/>
              </w:rPr>
            </w:pPr>
            <w:r>
              <w:rPr>
                <w:sz w:val="21"/>
              </w:rPr>
              <w:t>摊铺机</w:t>
            </w:r>
          </w:p>
        </w:tc>
        <w:tc>
          <w:tcPr>
            <w:tcW w:w="1162" w:type="dxa"/>
          </w:tcPr>
          <w:p>
            <w:pPr>
              <w:pStyle w:val="TableParagraph"/>
              <w:spacing w:line="237" w:lineRule="auto"/>
              <w:ind w:left="208" w:right="121" w:hanging="72"/>
              <w:jc w:val="left"/>
              <w:rPr>
                <w:rFonts w:ascii="Times New Roman"/>
                <w:sz w:val="21"/>
              </w:rPr>
            </w:pPr>
            <w:r>
              <w:rPr>
                <w:rFonts w:ascii="Times New Roman"/>
                <w:sz w:val="21"/>
              </w:rPr>
              <w:t>Fifond311 ABGCO</w:t>
            </w:r>
          </w:p>
        </w:tc>
        <w:tc>
          <w:tcPr>
            <w:tcW w:w="386" w:type="dxa"/>
          </w:tcPr>
          <w:p>
            <w:pPr>
              <w:pStyle w:val="TableParagraph"/>
              <w:spacing w:before="113"/>
              <w:ind w:left="2"/>
              <w:rPr>
                <w:rFonts w:ascii="Times New Roman"/>
                <w:sz w:val="21"/>
              </w:rPr>
            </w:pPr>
            <w:r>
              <w:rPr>
                <w:rFonts w:ascii="Times New Roman"/>
                <w:sz w:val="21"/>
              </w:rPr>
              <w:t>76</w:t>
            </w:r>
          </w:p>
        </w:tc>
        <w:tc>
          <w:tcPr>
            <w:tcW w:w="386" w:type="dxa"/>
          </w:tcPr>
          <w:p>
            <w:pPr>
              <w:pStyle w:val="TableParagraph"/>
              <w:spacing w:before="113"/>
              <w:ind w:left="2"/>
              <w:rPr>
                <w:rFonts w:ascii="Times New Roman"/>
                <w:sz w:val="21"/>
              </w:rPr>
            </w:pPr>
            <w:r>
              <w:rPr>
                <w:rFonts w:ascii="Times New Roman"/>
                <w:sz w:val="21"/>
              </w:rPr>
              <w:t>70</w:t>
            </w:r>
          </w:p>
        </w:tc>
        <w:tc>
          <w:tcPr>
            <w:tcW w:w="518" w:type="dxa"/>
          </w:tcPr>
          <w:p>
            <w:pPr>
              <w:pStyle w:val="TableParagraph"/>
              <w:spacing w:before="113"/>
              <w:ind w:right="167"/>
              <w:jc w:val="right"/>
              <w:rPr>
                <w:rFonts w:ascii="Times New Roman"/>
                <w:sz w:val="21"/>
              </w:rPr>
            </w:pPr>
            <w:r>
              <w:rPr>
                <w:rFonts w:ascii="Times New Roman"/>
                <w:sz w:val="21"/>
              </w:rPr>
              <w:t>66</w:t>
            </w:r>
          </w:p>
        </w:tc>
        <w:tc>
          <w:tcPr>
            <w:tcW w:w="521" w:type="dxa"/>
          </w:tcPr>
          <w:p>
            <w:pPr>
              <w:pStyle w:val="TableParagraph"/>
              <w:spacing w:before="113"/>
              <w:ind w:right="168"/>
              <w:jc w:val="right"/>
              <w:rPr>
                <w:rFonts w:ascii="Times New Roman"/>
                <w:sz w:val="21"/>
              </w:rPr>
            </w:pPr>
            <w:r>
              <w:rPr>
                <w:rFonts w:ascii="Times New Roman"/>
                <w:sz w:val="21"/>
              </w:rPr>
              <w:t>60</w:t>
            </w:r>
          </w:p>
        </w:tc>
        <w:tc>
          <w:tcPr>
            <w:tcW w:w="519" w:type="dxa"/>
          </w:tcPr>
          <w:p>
            <w:pPr>
              <w:pStyle w:val="TableParagraph"/>
              <w:spacing w:before="113"/>
              <w:ind w:left="165"/>
              <w:jc w:val="left"/>
              <w:rPr>
                <w:rFonts w:ascii="Times New Roman"/>
                <w:sz w:val="21"/>
              </w:rPr>
            </w:pPr>
            <w:r>
              <w:rPr>
                <w:rFonts w:ascii="Times New Roman"/>
                <w:sz w:val="21"/>
              </w:rPr>
              <w:t>57</w:t>
            </w:r>
          </w:p>
        </w:tc>
        <w:tc>
          <w:tcPr>
            <w:tcW w:w="518" w:type="dxa"/>
          </w:tcPr>
          <w:p>
            <w:pPr>
              <w:pStyle w:val="TableParagraph"/>
              <w:spacing w:before="113"/>
              <w:rPr>
                <w:rFonts w:ascii="Times New Roman"/>
                <w:sz w:val="21"/>
              </w:rPr>
            </w:pPr>
            <w:r>
              <w:rPr>
                <w:rFonts w:ascii="Times New Roman"/>
                <w:sz w:val="21"/>
              </w:rPr>
              <w:t>54</w:t>
            </w:r>
          </w:p>
        </w:tc>
        <w:tc>
          <w:tcPr>
            <w:tcW w:w="518" w:type="dxa"/>
          </w:tcPr>
          <w:p>
            <w:pPr>
              <w:pStyle w:val="TableParagraph"/>
              <w:spacing w:before="113"/>
              <w:rPr>
                <w:rFonts w:ascii="Times New Roman"/>
                <w:sz w:val="21"/>
              </w:rPr>
            </w:pPr>
            <w:r>
              <w:rPr>
                <w:rFonts w:ascii="Times New Roman"/>
                <w:sz w:val="21"/>
              </w:rPr>
              <w:t>52</w:t>
            </w:r>
          </w:p>
        </w:tc>
        <w:tc>
          <w:tcPr>
            <w:tcW w:w="521" w:type="dxa"/>
          </w:tcPr>
          <w:p>
            <w:pPr>
              <w:pStyle w:val="TableParagraph"/>
              <w:spacing w:before="113"/>
              <w:ind w:left="170"/>
              <w:jc w:val="left"/>
              <w:rPr>
                <w:rFonts w:ascii="Times New Roman"/>
                <w:sz w:val="21"/>
              </w:rPr>
            </w:pPr>
            <w:r>
              <w:rPr>
                <w:rFonts w:ascii="Times New Roman"/>
                <w:sz w:val="21"/>
              </w:rPr>
              <w:t>51</w:t>
            </w:r>
          </w:p>
        </w:tc>
        <w:tc>
          <w:tcPr>
            <w:tcW w:w="518" w:type="dxa"/>
          </w:tcPr>
          <w:p>
            <w:pPr>
              <w:pStyle w:val="TableParagraph"/>
              <w:spacing w:before="113"/>
              <w:rPr>
                <w:rFonts w:ascii="Times New Roman"/>
                <w:sz w:val="21"/>
              </w:rPr>
            </w:pPr>
            <w:r>
              <w:rPr>
                <w:rFonts w:ascii="Times New Roman"/>
                <w:sz w:val="21"/>
              </w:rPr>
              <w:t>50</w:t>
            </w:r>
          </w:p>
        </w:tc>
        <w:tc>
          <w:tcPr>
            <w:tcW w:w="521" w:type="dxa"/>
          </w:tcPr>
          <w:p>
            <w:pPr>
              <w:pStyle w:val="TableParagraph"/>
              <w:spacing w:before="113"/>
              <w:ind w:left="10" w:right="11"/>
              <w:rPr>
                <w:rFonts w:ascii="Times New Roman"/>
                <w:sz w:val="21"/>
              </w:rPr>
            </w:pPr>
            <w:r>
              <w:rPr>
                <w:rFonts w:ascii="Times New Roman"/>
                <w:sz w:val="21"/>
              </w:rPr>
              <w:t>48</w:t>
            </w:r>
          </w:p>
        </w:tc>
        <w:tc>
          <w:tcPr>
            <w:tcW w:w="518" w:type="dxa"/>
          </w:tcPr>
          <w:p>
            <w:pPr>
              <w:pStyle w:val="TableParagraph"/>
              <w:spacing w:before="113"/>
              <w:ind w:left="13" w:right="15"/>
              <w:rPr>
                <w:rFonts w:ascii="Times New Roman"/>
                <w:sz w:val="21"/>
              </w:rPr>
            </w:pPr>
            <w:r>
              <w:rPr>
                <w:rFonts w:ascii="Times New Roman"/>
                <w:sz w:val="21"/>
              </w:rPr>
              <w:t>47</w:t>
            </w:r>
          </w:p>
        </w:tc>
        <w:tc>
          <w:tcPr>
            <w:tcW w:w="643" w:type="dxa"/>
          </w:tcPr>
          <w:p>
            <w:pPr>
              <w:pStyle w:val="TableParagraph"/>
              <w:spacing w:before="113"/>
              <w:ind w:left="12" w:right="115"/>
              <w:rPr>
                <w:rFonts w:ascii="Times New Roman"/>
                <w:sz w:val="21"/>
              </w:rPr>
            </w:pPr>
            <w:r>
              <w:rPr>
                <w:rFonts w:ascii="Times New Roman"/>
                <w:sz w:val="21"/>
              </w:rPr>
              <w:t>46</w:t>
            </w:r>
          </w:p>
        </w:tc>
      </w:tr>
      <w:tr>
        <w:trPr>
          <w:trHeight w:val="283" w:hRule="exact"/>
        </w:trPr>
        <w:tc>
          <w:tcPr>
            <w:tcW w:w="1279" w:type="dxa"/>
          </w:tcPr>
          <w:p>
            <w:pPr>
              <w:pStyle w:val="TableParagraph"/>
              <w:spacing w:line="241" w:lineRule="exact"/>
              <w:ind w:right="263"/>
              <w:jc w:val="right"/>
              <w:rPr>
                <w:sz w:val="21"/>
              </w:rPr>
            </w:pPr>
            <w:r>
              <w:rPr>
                <w:sz w:val="21"/>
              </w:rPr>
              <w:t>摊铺机</w:t>
            </w:r>
          </w:p>
        </w:tc>
        <w:tc>
          <w:tcPr>
            <w:tcW w:w="1162" w:type="dxa"/>
          </w:tcPr>
          <w:p>
            <w:pPr>
              <w:pStyle w:val="TableParagraph"/>
              <w:spacing w:before="10"/>
              <w:ind w:left="105" w:right="106"/>
              <w:rPr>
                <w:rFonts w:ascii="Times New Roman"/>
                <w:sz w:val="21"/>
              </w:rPr>
            </w:pPr>
            <w:r>
              <w:rPr>
                <w:rFonts w:ascii="Times New Roman"/>
                <w:sz w:val="21"/>
              </w:rPr>
              <w:t>VOGELE</w:t>
            </w:r>
          </w:p>
        </w:tc>
        <w:tc>
          <w:tcPr>
            <w:tcW w:w="386" w:type="dxa"/>
          </w:tcPr>
          <w:p>
            <w:pPr>
              <w:pStyle w:val="TableParagraph"/>
              <w:spacing w:before="10"/>
              <w:ind w:left="2"/>
              <w:rPr>
                <w:rFonts w:ascii="Times New Roman"/>
                <w:sz w:val="21"/>
              </w:rPr>
            </w:pPr>
            <w:r>
              <w:rPr>
                <w:rFonts w:ascii="Times New Roman"/>
                <w:sz w:val="21"/>
              </w:rPr>
              <w:t>81</w:t>
            </w:r>
          </w:p>
        </w:tc>
        <w:tc>
          <w:tcPr>
            <w:tcW w:w="386" w:type="dxa"/>
          </w:tcPr>
          <w:p>
            <w:pPr>
              <w:pStyle w:val="TableParagraph"/>
              <w:spacing w:before="10"/>
              <w:ind w:left="2"/>
              <w:rPr>
                <w:rFonts w:ascii="Times New Roman"/>
                <w:sz w:val="21"/>
              </w:rPr>
            </w:pPr>
            <w:r>
              <w:rPr>
                <w:rFonts w:ascii="Times New Roman"/>
                <w:sz w:val="21"/>
              </w:rPr>
              <w:t>75</w:t>
            </w:r>
          </w:p>
        </w:tc>
        <w:tc>
          <w:tcPr>
            <w:tcW w:w="518" w:type="dxa"/>
          </w:tcPr>
          <w:p>
            <w:pPr>
              <w:pStyle w:val="TableParagraph"/>
              <w:spacing w:before="10"/>
              <w:ind w:right="167"/>
              <w:jc w:val="right"/>
              <w:rPr>
                <w:rFonts w:ascii="Times New Roman"/>
                <w:sz w:val="21"/>
              </w:rPr>
            </w:pPr>
            <w:r>
              <w:rPr>
                <w:rFonts w:ascii="Times New Roman"/>
                <w:sz w:val="21"/>
              </w:rPr>
              <w:t>71</w:t>
            </w:r>
          </w:p>
        </w:tc>
        <w:tc>
          <w:tcPr>
            <w:tcW w:w="521" w:type="dxa"/>
          </w:tcPr>
          <w:p>
            <w:pPr>
              <w:pStyle w:val="TableParagraph"/>
              <w:spacing w:before="10"/>
              <w:ind w:right="168"/>
              <w:jc w:val="right"/>
              <w:rPr>
                <w:rFonts w:ascii="Times New Roman"/>
                <w:sz w:val="21"/>
              </w:rPr>
            </w:pPr>
            <w:r>
              <w:rPr>
                <w:rFonts w:ascii="Times New Roman"/>
                <w:sz w:val="21"/>
              </w:rPr>
              <w:t>65</w:t>
            </w:r>
          </w:p>
        </w:tc>
        <w:tc>
          <w:tcPr>
            <w:tcW w:w="519" w:type="dxa"/>
          </w:tcPr>
          <w:p>
            <w:pPr>
              <w:pStyle w:val="TableParagraph"/>
              <w:spacing w:before="10"/>
              <w:ind w:left="165"/>
              <w:jc w:val="left"/>
              <w:rPr>
                <w:rFonts w:ascii="Times New Roman"/>
                <w:sz w:val="21"/>
              </w:rPr>
            </w:pPr>
            <w:r>
              <w:rPr>
                <w:rFonts w:ascii="Times New Roman"/>
                <w:sz w:val="21"/>
              </w:rPr>
              <w:t>62</w:t>
            </w:r>
          </w:p>
        </w:tc>
        <w:tc>
          <w:tcPr>
            <w:tcW w:w="518" w:type="dxa"/>
          </w:tcPr>
          <w:p>
            <w:pPr>
              <w:pStyle w:val="TableParagraph"/>
              <w:spacing w:before="10"/>
              <w:rPr>
                <w:rFonts w:ascii="Times New Roman"/>
                <w:sz w:val="21"/>
              </w:rPr>
            </w:pPr>
            <w:r>
              <w:rPr>
                <w:rFonts w:ascii="Times New Roman"/>
                <w:sz w:val="21"/>
              </w:rPr>
              <w:t>59</w:t>
            </w:r>
          </w:p>
        </w:tc>
        <w:tc>
          <w:tcPr>
            <w:tcW w:w="518" w:type="dxa"/>
          </w:tcPr>
          <w:p>
            <w:pPr>
              <w:pStyle w:val="TableParagraph"/>
              <w:spacing w:before="10"/>
              <w:rPr>
                <w:rFonts w:ascii="Times New Roman"/>
                <w:sz w:val="21"/>
              </w:rPr>
            </w:pPr>
            <w:r>
              <w:rPr>
                <w:rFonts w:ascii="Times New Roman"/>
                <w:sz w:val="21"/>
              </w:rPr>
              <w:t>57</w:t>
            </w:r>
          </w:p>
        </w:tc>
        <w:tc>
          <w:tcPr>
            <w:tcW w:w="521" w:type="dxa"/>
          </w:tcPr>
          <w:p>
            <w:pPr>
              <w:pStyle w:val="TableParagraph"/>
              <w:spacing w:before="10"/>
              <w:ind w:left="170"/>
              <w:jc w:val="left"/>
              <w:rPr>
                <w:rFonts w:ascii="Times New Roman"/>
                <w:sz w:val="21"/>
              </w:rPr>
            </w:pPr>
            <w:r>
              <w:rPr>
                <w:rFonts w:ascii="Times New Roman"/>
                <w:sz w:val="21"/>
              </w:rPr>
              <w:t>56</w:t>
            </w:r>
          </w:p>
        </w:tc>
        <w:tc>
          <w:tcPr>
            <w:tcW w:w="518" w:type="dxa"/>
          </w:tcPr>
          <w:p>
            <w:pPr>
              <w:pStyle w:val="TableParagraph"/>
              <w:spacing w:before="10"/>
              <w:rPr>
                <w:rFonts w:ascii="Times New Roman"/>
                <w:sz w:val="21"/>
              </w:rPr>
            </w:pPr>
            <w:r>
              <w:rPr>
                <w:rFonts w:ascii="Times New Roman"/>
                <w:sz w:val="21"/>
              </w:rPr>
              <w:t>55</w:t>
            </w:r>
          </w:p>
        </w:tc>
        <w:tc>
          <w:tcPr>
            <w:tcW w:w="521" w:type="dxa"/>
          </w:tcPr>
          <w:p>
            <w:pPr>
              <w:pStyle w:val="TableParagraph"/>
              <w:spacing w:before="10"/>
              <w:ind w:left="10" w:right="11"/>
              <w:rPr>
                <w:rFonts w:ascii="Times New Roman"/>
                <w:sz w:val="21"/>
              </w:rPr>
            </w:pPr>
            <w:r>
              <w:rPr>
                <w:rFonts w:ascii="Times New Roman"/>
                <w:sz w:val="21"/>
              </w:rPr>
              <w:t>53</w:t>
            </w:r>
          </w:p>
        </w:tc>
        <w:tc>
          <w:tcPr>
            <w:tcW w:w="518" w:type="dxa"/>
          </w:tcPr>
          <w:p>
            <w:pPr>
              <w:pStyle w:val="TableParagraph"/>
              <w:spacing w:before="10"/>
              <w:ind w:left="13" w:right="15"/>
              <w:rPr>
                <w:rFonts w:ascii="Times New Roman"/>
                <w:sz w:val="21"/>
              </w:rPr>
            </w:pPr>
            <w:r>
              <w:rPr>
                <w:rFonts w:ascii="Times New Roman"/>
                <w:sz w:val="21"/>
              </w:rPr>
              <w:t>52</w:t>
            </w:r>
          </w:p>
        </w:tc>
        <w:tc>
          <w:tcPr>
            <w:tcW w:w="643" w:type="dxa"/>
          </w:tcPr>
          <w:p>
            <w:pPr>
              <w:pStyle w:val="TableParagraph"/>
              <w:spacing w:before="10"/>
              <w:ind w:left="12" w:right="115"/>
              <w:rPr>
                <w:rFonts w:ascii="Times New Roman"/>
                <w:sz w:val="21"/>
              </w:rPr>
            </w:pPr>
            <w:r>
              <w:rPr>
                <w:rFonts w:ascii="Times New Roman"/>
                <w:sz w:val="21"/>
              </w:rPr>
              <w:t>51</w:t>
            </w:r>
          </w:p>
        </w:tc>
      </w:tr>
      <w:tr>
        <w:trPr>
          <w:trHeight w:val="8202" w:hRule="exact"/>
        </w:trPr>
        <w:tc>
          <w:tcPr>
            <w:tcW w:w="8531" w:type="dxa"/>
            <w:gridSpan w:val="14"/>
          </w:tcPr>
          <w:p>
            <w:pPr>
              <w:pStyle w:val="TableParagraph"/>
              <w:tabs>
                <w:tab w:pos="3245" w:val="left" w:leader="none"/>
              </w:tabs>
              <w:spacing w:line="292" w:lineRule="exact"/>
              <w:ind w:left="2383"/>
              <w:jc w:val="left"/>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11"/>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3"/>
              <w:ind w:left="103" w:right="102" w:firstLine="479"/>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36" w:lineRule="auto" w:before="36"/>
              <w:ind w:left="103" w:firstLine="479"/>
              <w:jc w:val="left"/>
              <w:rPr>
                <w:sz w:val="24"/>
              </w:rPr>
            </w:pPr>
            <w:r>
              <w:rPr>
                <w:spacing w:val="-1"/>
                <w:sz w:val="24"/>
              </w:rPr>
              <w:t>由上表可知，本项目施工噪声影响昼间主要出现在距施工场地 </w:t>
            </w:r>
            <w:r>
              <w:rPr>
                <w:rFonts w:ascii="Times New Roman" w:eastAsia="Times New Roman"/>
                <w:sz w:val="24"/>
              </w:rPr>
              <w:t>30m</w:t>
            </w:r>
            <w:r>
              <w:rPr>
                <w:rFonts w:ascii="Times New Roman" w:eastAsia="Times New Roman"/>
                <w:spacing w:val="43"/>
                <w:sz w:val="24"/>
              </w:rPr>
              <w:t> </w:t>
            </w:r>
            <w:r>
              <w:rPr>
                <w:sz w:val="24"/>
              </w:rPr>
              <w:t>为范围</w:t>
            </w:r>
            <w:r>
              <w:rPr>
                <w:spacing w:val="-13"/>
                <w:sz w:val="24"/>
              </w:rPr>
              <w:t>内，夜间将出现在距施工场地 </w:t>
            </w:r>
            <w:r>
              <w:rPr>
                <w:rFonts w:ascii="Times New Roman" w:eastAsia="Times New Roman"/>
                <w:sz w:val="24"/>
              </w:rPr>
              <w:t>300m </w:t>
            </w:r>
            <w:r>
              <w:rPr>
                <w:spacing w:val="-9"/>
                <w:sz w:val="24"/>
              </w:rPr>
              <w:t>的范围内，由于本项目施工区域采取围挡等， </w:t>
            </w:r>
            <w:r>
              <w:rPr>
                <w:spacing w:val="-18"/>
                <w:sz w:val="24"/>
              </w:rPr>
              <w:t>对声波传播路线有遮挡，且日常作业时间不连续。根据其他道路调查、监测分析，</w:t>
            </w:r>
          </w:p>
        </w:tc>
      </w:tr>
    </w:tbl>
    <w:p>
      <w:pPr>
        <w:rPr>
          <w:sz w:val="2"/>
          <w:szCs w:val="2"/>
        </w:rPr>
      </w:pPr>
      <w:r>
        <w:rPr/>
        <w:pict>
          <v:shape style="position:absolute;margin-left:89.183998pt;margin-top:382.129974pt;width:417.95pt;height:222.9pt;mso-position-horizontal-relative:page;mso-position-vertical-relative:page;z-index:2752"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38" w:hRule="exact"/>
                    </w:trPr>
                    <w:tc>
                      <w:tcPr>
                        <w:tcW w:w="1075" w:type="dxa"/>
                        <w:vMerge w:val="restart"/>
                        <w:tcBorders>
                          <w:left w:val="nil"/>
                          <w:right w:val="single" w:sz="4" w:space="0" w:color="000000"/>
                        </w:tcBorders>
                      </w:tcPr>
                      <w:p>
                        <w:pPr>
                          <w:pStyle w:val="TableParagraph"/>
                          <w:spacing w:before="153"/>
                          <w:ind w:left="117"/>
                          <w:jc w:val="left"/>
                          <w:rPr>
                            <w:sz w:val="21"/>
                          </w:rPr>
                        </w:pPr>
                        <w:r>
                          <w:rPr>
                            <w:sz w:val="21"/>
                          </w:rPr>
                          <w:t>施工阶段</w:t>
                        </w:r>
                      </w:p>
                    </w:tc>
                    <w:tc>
                      <w:tcPr>
                        <w:tcW w:w="2305" w:type="dxa"/>
                        <w:vMerge w:val="restart"/>
                        <w:tcBorders>
                          <w:left w:val="single" w:sz="4" w:space="0" w:color="000000"/>
                          <w:right w:val="single" w:sz="4" w:space="0" w:color="000000"/>
                        </w:tcBorders>
                      </w:tcPr>
                      <w:p>
                        <w:pPr>
                          <w:pStyle w:val="TableParagraph"/>
                          <w:spacing w:before="153"/>
                          <w:ind w:left="727"/>
                          <w:jc w:val="left"/>
                          <w:rPr>
                            <w:sz w:val="21"/>
                          </w:rPr>
                        </w:pPr>
                        <w:r>
                          <w:rPr>
                            <w:sz w:val="21"/>
                          </w:rPr>
                          <w:t>机械类型</w:t>
                        </w:r>
                      </w:p>
                    </w:tc>
                    <w:tc>
                      <w:tcPr>
                        <w:tcW w:w="1380" w:type="dxa"/>
                        <w:vMerge w:val="restart"/>
                        <w:tcBorders>
                          <w:left w:val="single" w:sz="4" w:space="0" w:color="000000"/>
                          <w:right w:val="single" w:sz="4" w:space="0" w:color="000000"/>
                        </w:tcBorders>
                      </w:tcPr>
                      <w:p>
                        <w:pPr>
                          <w:pStyle w:val="TableParagraph"/>
                          <w:spacing w:before="153"/>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trPr>
                      <w:trHeight w:val="324" w:hRule="exact"/>
                    </w:trPr>
                    <w:tc>
                      <w:tcPr>
                        <w:tcW w:w="1075" w:type="dxa"/>
                        <w:vMerge/>
                        <w:tcBorders>
                          <w:left w:val="nil"/>
                          <w:bottom w:val="single" w:sz="4" w:space="0" w:color="000000"/>
                          <w:right w:val="single" w:sz="4" w:space="0" w:color="000000"/>
                        </w:tcBorders>
                      </w:tcPr>
                      <w:p>
                        <w:pPr/>
                      </w:p>
                    </w:tc>
                    <w:tc>
                      <w:tcPr>
                        <w:tcW w:w="2305" w:type="dxa"/>
                        <w:vMerge/>
                        <w:tcBorders>
                          <w:left w:val="single" w:sz="4" w:space="0" w:color="000000"/>
                          <w:bottom w:val="single" w:sz="4" w:space="0" w:color="000000"/>
                          <w:right w:val="single" w:sz="4" w:space="0" w:color="000000"/>
                        </w:tcBorders>
                      </w:tcPr>
                      <w:p>
                        <w:pPr/>
                      </w:p>
                    </w:tc>
                    <w:tc>
                      <w:tcPr>
                        <w:tcW w:w="1380" w:type="dxa"/>
                        <w:vMerge/>
                        <w:tcBorders>
                          <w:left w:val="single" w:sz="4" w:space="0" w:color="000000"/>
                          <w:bottom w:val="single" w:sz="4" w:space="0" w:color="000000"/>
                          <w:right w:val="single" w:sz="4" w:space="0" w:color="000000"/>
                        </w:tcBorders>
                      </w:tcPr>
                      <w:p>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pPr>
                          <w:pStyle w:val="TableParagraph"/>
                          <w:spacing w:line="262" w:lineRule="exact"/>
                          <w:ind w:right="215"/>
                          <w:jc w:val="right"/>
                          <w:rPr>
                            <w:sz w:val="21"/>
                          </w:rPr>
                        </w:pPr>
                        <w:r>
                          <w:rPr>
                            <w:sz w:val="21"/>
                          </w:rPr>
                          <w:t>夜间</w:t>
                        </w:r>
                      </w:p>
                    </w:tc>
                  </w:tr>
                  <w:tr>
                    <w:trPr>
                      <w:trHeight w:val="327"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8"/>
                          </w:rPr>
                        </w:pPr>
                      </w:p>
                      <w:p>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ZL40 </w:t>
                        </w:r>
                        <w:r>
                          <w:rPr>
                            <w:sz w:val="21"/>
                          </w:rPr>
                          <w:t>型</w:t>
                        </w:r>
                      </w:p>
                    </w:tc>
                    <w:tc>
                      <w:tcPr>
                        <w:tcW w:w="895"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PY160A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CC21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29"/>
                          <w:ind w:right="1"/>
                          <w:rPr>
                            <w:rFonts w:ascii="Times New Roman"/>
                            <w:sz w:val="21"/>
                          </w:rPr>
                        </w:pPr>
                        <w:r>
                          <w:rPr>
                            <w:rFonts w:ascii="Times New Roman"/>
                            <w:w w:val="100"/>
                            <w:sz w:val="21"/>
                          </w:rPr>
                          <w:t>/</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4"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ZL16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left="296" w:right="303"/>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T140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W4-60C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140</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22 </w:t>
                        </w:r>
                        <w:r>
                          <w:rPr>
                            <w:sz w:val="21"/>
                          </w:rPr>
                          <w:t>型</w:t>
                        </w:r>
                      </w:p>
                    </w:tc>
                    <w:tc>
                      <w:tcPr>
                        <w:tcW w:w="895"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r>
                    <w:trPr>
                      <w:trHeight w:val="492"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113"/>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pPr>
                          <w:pStyle w:val="TableParagraph"/>
                          <w:spacing w:before="113"/>
                          <w:ind w:right="271"/>
                          <w:jc w:val="right"/>
                          <w:rPr>
                            <w:rFonts w:ascii="Times New Roman"/>
                            <w:sz w:val="21"/>
                          </w:rPr>
                        </w:pPr>
                        <w:r>
                          <w:rPr>
                            <w:rFonts w:ascii="Times New Roman"/>
                            <w:sz w:val="21"/>
                          </w:rPr>
                          <w:t>110</w:t>
                        </w:r>
                      </w:p>
                    </w:tc>
                  </w:tr>
                  <w:tr>
                    <w:trPr>
                      <w:trHeight w:val="339"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right w:val="single" w:sz="4" w:space="0" w:color="000000"/>
                        </w:tcBorders>
                      </w:tcPr>
                      <w:p>
                        <w:pPr>
                          <w:pStyle w:val="TableParagraph"/>
                          <w:spacing w:line="265"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903999pt;margin-top:382.48999pt;width:415.8pt;height:222.2pt;mso-position-horizontal-relative:page;mso-position-vertical-relative:page;z-index:277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46" w:hRule="exact"/>
                    </w:trPr>
                    <w:tc>
                      <w:tcPr>
                        <w:tcW w:w="1075" w:type="dxa"/>
                        <w:vMerge w:val="restart"/>
                      </w:tcPr>
                      <w:p>
                        <w:pPr/>
                      </w:p>
                    </w:tc>
                    <w:tc>
                      <w:tcPr>
                        <w:tcW w:w="2305" w:type="dxa"/>
                        <w:vMerge w:val="restart"/>
                      </w:tcPr>
                      <w:p>
                        <w:pPr/>
                      </w:p>
                    </w:tc>
                    <w:tc>
                      <w:tcPr>
                        <w:tcW w:w="1380" w:type="dxa"/>
                        <w:vMerge w:val="restart"/>
                      </w:tcPr>
                      <w:p>
                        <w:pPr/>
                      </w:p>
                    </w:tc>
                    <w:tc>
                      <w:tcPr>
                        <w:tcW w:w="1778" w:type="dxa"/>
                        <w:gridSpan w:val="2"/>
                      </w:tcPr>
                      <w:p>
                        <w:pPr/>
                      </w:p>
                    </w:tc>
                    <w:tc>
                      <w:tcPr>
                        <w:tcW w:w="1777" w:type="dxa"/>
                        <w:gridSpan w:val="2"/>
                      </w:tcPr>
                      <w:p>
                        <w:pPr/>
                      </w:p>
                    </w:tc>
                  </w:tr>
                  <w:tr>
                    <w:trPr>
                      <w:trHeight w:val="324" w:hRule="exact"/>
                    </w:trPr>
                    <w:tc>
                      <w:tcPr>
                        <w:tcW w:w="1075" w:type="dxa"/>
                        <w:vMerge/>
                      </w:tcPr>
                      <w:p>
                        <w:pPr/>
                      </w:p>
                    </w:tc>
                    <w:tc>
                      <w:tcPr>
                        <w:tcW w:w="2305" w:type="dxa"/>
                        <w:vMerge/>
                      </w:tcPr>
                      <w:p>
                        <w:pPr/>
                      </w:p>
                    </w:tc>
                    <w:tc>
                      <w:tcPr>
                        <w:tcW w:w="1380" w:type="dxa"/>
                        <w:vMerge/>
                      </w:tcPr>
                      <w:p>
                        <w:pPr/>
                      </w:p>
                    </w:tc>
                    <w:tc>
                      <w:tcPr>
                        <w:tcW w:w="895" w:type="dxa"/>
                      </w:tcPr>
                      <w:p>
                        <w:pPr/>
                      </w:p>
                    </w:tc>
                    <w:tc>
                      <w:tcPr>
                        <w:tcW w:w="883" w:type="dxa"/>
                      </w:tcPr>
                      <w:p>
                        <w:pPr/>
                      </w:p>
                    </w:tc>
                    <w:tc>
                      <w:tcPr>
                        <w:tcW w:w="922" w:type="dxa"/>
                      </w:tcPr>
                      <w:p>
                        <w:pPr/>
                      </w:p>
                    </w:tc>
                    <w:tc>
                      <w:tcPr>
                        <w:tcW w:w="854" w:type="dxa"/>
                      </w:tcPr>
                      <w:p>
                        <w:pPr/>
                      </w:p>
                    </w:tc>
                  </w:tr>
                  <w:tr>
                    <w:trPr>
                      <w:trHeight w:val="327"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492"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4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before="9"/>
        <w:ind w:left="218"/>
      </w:pPr>
      <w:r>
        <w:rPr/>
        <w:pict>
          <v:group style="position:absolute;margin-left:84.253998pt;margin-top:71.749977pt;width:427.1pt;height:698.7pt;mso-position-horizontal-relative:page;mso-position-vertical-relative:page;z-index:-19763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噪声实际大小、影响时间、影响程度要较预测小。</w:t>
      </w:r>
    </w:p>
    <w:p>
      <w:pPr>
        <w:pStyle w:val="BodyText"/>
        <w:spacing w:line="336" w:lineRule="auto" w:before="154"/>
        <w:ind w:left="218" w:right="177" w:firstLine="479"/>
        <w:jc w:val="both"/>
      </w:pPr>
      <w:r>
        <w:rPr>
          <w:spacing w:val="-4"/>
        </w:rPr>
        <w:t>根据项目外环境可知，本项目沿线 </w:t>
      </w:r>
      <w:r>
        <w:rPr>
          <w:rFonts w:ascii="Times New Roman" w:eastAsia="Times New Roman"/>
        </w:rPr>
        <w:t>200m </w:t>
      </w:r>
      <w:r>
        <w:rPr/>
        <w:t>范围内敏感目标主要为沿线居民， 为避免项目对住户造成噪声污染，建设单位采取了以下措施：</w:t>
      </w:r>
    </w:p>
    <w:p>
      <w:pPr>
        <w:pStyle w:val="BodyText"/>
        <w:spacing w:line="336" w:lineRule="auto" w:before="58"/>
        <w:ind w:left="218" w:right="220" w:firstLine="479"/>
        <w:jc w:val="both"/>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8"/>
        <w:ind w:left="218" w:right="112" w:firstLine="479"/>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施工单位应在施工现场张贴通告和投诉电话，以便建设单位在接到报案后及时与当地环保部门取得联系，以便及时处理各种环境纠纷。</w:t>
      </w:r>
    </w:p>
    <w:p>
      <w:pPr>
        <w:pStyle w:val="BodyText"/>
        <w:spacing w:line="343" w:lineRule="auto" w:before="43"/>
        <w:ind w:left="218" w:right="212" w:firstLine="479"/>
        <w:jc w:val="both"/>
      </w:pPr>
      <w:r>
        <w:rPr>
          <w:rFonts w:ascii="Times New Roman" w:eastAsia="Times New Roman"/>
        </w:rPr>
        <w:t>3</w:t>
      </w:r>
      <w:r>
        <w:rPr/>
        <w:t>）推土机、装载机、压路机、摊铺机等高噪声设备禁止在夜间作业；高噪</w:t>
      </w:r>
      <w:r>
        <w:rPr>
          <w:spacing w:val="-5"/>
        </w:rPr>
        <w:t>声设备施工时间主要为 </w:t>
      </w:r>
      <w:r>
        <w:rPr>
          <w:rFonts w:ascii="Times New Roman" w:eastAsia="Times New Roman"/>
          <w:spacing w:val="-3"/>
        </w:rPr>
        <w:t>8:00~22:00</w:t>
      </w:r>
      <w:r>
        <w:rPr>
          <w:spacing w:val="-5"/>
        </w:rPr>
        <w:t>，且昼夜必须连续施工作业的工点，施工单位</w:t>
      </w:r>
      <w:r>
        <w:rPr>
          <w:spacing w:val="-10"/>
        </w:rPr>
        <w:t>视具体情况及时与环保部门、建设局等相关主管部分取得了联系。如必须在夜间施工，则需按规定申领夜间施工证，同时发布公告最大限度地争取民众支持。</w:t>
      </w:r>
    </w:p>
    <w:p>
      <w:pPr>
        <w:pStyle w:val="BodyText"/>
        <w:spacing w:line="348" w:lineRule="auto" w:before="48"/>
        <w:ind w:left="218" w:right="211" w:firstLine="479"/>
        <w:jc w:val="both"/>
      </w:pPr>
      <w:r>
        <w:rPr>
          <w:rFonts w:ascii="Times New Roman" w:eastAsia="Times New Roman"/>
        </w:rPr>
        <w:t>4</w:t>
      </w:r>
      <w:r>
        <w:rPr/>
        <w:t>）原辅材料、弃土（渣）运输车辆主要集中在昼间，在途经路段附近有居</w:t>
      </w:r>
      <w:r>
        <w:rPr>
          <w:spacing w:val="-8"/>
        </w:rPr>
        <w:t>民点路段时，应做到减速慢行、禁止鸣笛。总之，车辆运输时间均保证周边住户的正常休息时间，杜绝环保投诉事件产生。</w:t>
      </w:r>
    </w:p>
    <w:p>
      <w:pPr>
        <w:pStyle w:val="BodyText"/>
        <w:spacing w:line="336" w:lineRule="auto" w:before="46"/>
        <w:ind w:left="218" w:right="220" w:firstLine="479"/>
        <w:jc w:val="both"/>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8"/>
        <w:ind w:left="698"/>
      </w:pPr>
      <w:r>
        <w:rPr>
          <w:rFonts w:ascii="Times New Roman" w:eastAsia="Times New Roman"/>
        </w:rPr>
        <w:t>6</w:t>
      </w:r>
      <w:r>
        <w:rPr/>
        <w:t>）严禁在中、高考期间施工。</w:t>
      </w:r>
    </w:p>
    <w:p>
      <w:pPr>
        <w:pStyle w:val="Heading3"/>
        <w:spacing w:line="357" w:lineRule="auto" w:before="133"/>
        <w:ind w:left="218" w:right="215" w:firstLine="482"/>
        <w:jc w:val="both"/>
      </w:pPr>
      <w:r>
        <w:rPr>
          <w:spacing w:val="-11"/>
        </w:rPr>
        <w:t>总的来说，施工期噪声的环境影响范围和程度均有限，施工噪声是短期污染</w:t>
      </w:r>
      <w:r>
        <w:rPr>
          <w:spacing w:val="-13"/>
        </w:rPr>
        <w:t>行为，随着施工活动一结束，其施工噪声也随之消失，不会对周围环境敏感点造</w:t>
      </w:r>
      <w:r>
        <w:rPr>
          <w:spacing w:val="-13"/>
          <w:w w:val="95"/>
        </w:rPr>
        <w:t>成较大影响。</w:t>
      </w:r>
    </w:p>
    <w:p>
      <w:pPr>
        <w:spacing w:before="36"/>
        <w:ind w:left="700" w:right="0" w:firstLine="0"/>
        <w:jc w:val="left"/>
        <w:rPr>
          <w:b/>
          <w:sz w:val="24"/>
        </w:rPr>
      </w:pPr>
      <w:r>
        <w:rPr>
          <w:rFonts w:ascii="Times New Roman" w:eastAsia="Times New Roman"/>
          <w:b/>
          <w:w w:val="95"/>
          <w:sz w:val="24"/>
        </w:rPr>
        <w:t>3</w:t>
      </w:r>
      <w:r>
        <w:rPr>
          <w:b/>
          <w:w w:val="95"/>
          <w:sz w:val="24"/>
        </w:rPr>
        <w:t>、施工废水环境影响分析</w:t>
      </w:r>
    </w:p>
    <w:p>
      <w:pPr>
        <w:pStyle w:val="BodyText"/>
        <w:spacing w:line="357" w:lineRule="auto" w:before="133"/>
        <w:ind w:left="218" w:right="212" w:firstLine="479"/>
        <w:jc w:val="both"/>
      </w:pPr>
      <w:r>
        <w:rPr>
          <w:spacing w:val="-5"/>
        </w:rPr>
        <w:t>本项目施工期废水主要来源于路基开挖积水、施工生产废水和施工人员生活</w:t>
      </w:r>
      <w:r>
        <w:rPr>
          <w:spacing w:val="-1"/>
        </w:rPr>
        <w:t>污水。 </w:t>
      </w:r>
    </w:p>
    <w:p>
      <w:pPr>
        <w:pStyle w:val="BodyText"/>
        <w:spacing w:before="34"/>
        <w:ind w:left="698"/>
      </w:pPr>
      <w:r>
        <w:rPr/>
        <w:t>①路基开挖积水</w:t>
      </w:r>
    </w:p>
    <w:p>
      <w:pPr>
        <w:pStyle w:val="BodyText"/>
        <w:spacing w:before="154"/>
        <w:ind w:left="698"/>
      </w:pPr>
      <w:r>
        <w:rPr/>
        <w:t>本项目路基施工产生的排水为清下水，就近排入沟渠或市政雨水管网。</w:t>
      </w:r>
    </w:p>
    <w:p>
      <w:pPr>
        <w:pStyle w:val="BodyText"/>
        <w:spacing w:before="154"/>
        <w:ind w:left="698"/>
      </w:pPr>
      <w:r>
        <w:rPr/>
        <w:t>②施工废水</w:t>
      </w:r>
    </w:p>
    <w:p>
      <w:pPr>
        <w:pStyle w:val="BodyText"/>
        <w:spacing w:line="357" w:lineRule="auto" w:before="151"/>
        <w:ind w:left="218" w:right="126" w:firstLine="479"/>
        <w:jc w:val="both"/>
      </w:pPr>
      <w:r>
        <w:rPr/>
        <w:t>由于本工程所需混凝土均为商品砼，施工场地不设大型混凝土搅拌设施，施工生产废水主要是开挖、钻孔产生的泥浆水、各种施工机械设备运转的冷却水、</w:t>
      </w:r>
    </w:p>
    <w:p>
      <w:pPr>
        <w:spacing w:after="0" w:line="357" w:lineRule="auto"/>
        <w:jc w:val="both"/>
        <w:sectPr>
          <w:pgSz w:w="11910" w:h="16850"/>
          <w:pgMar w:header="0" w:footer="1141" w:top="1400" w:bottom="1340" w:left="1580" w:right="1580"/>
        </w:sectPr>
      </w:pPr>
    </w:p>
    <w:p>
      <w:pPr>
        <w:pStyle w:val="BodyText"/>
        <w:spacing w:before="9"/>
        <w:ind w:left="1" w:right="5669"/>
        <w:jc w:val="center"/>
      </w:pPr>
      <w:r>
        <w:rPr/>
        <w:pict>
          <v:group style="position:absolute;margin-left:84.253998pt;margin-top:71.749977pt;width:427.1pt;height:698.7pt;mso-position-horizontal-relative:page;mso-position-vertical-relative:page;z-index:-19760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设备和运输车辆冲洗水。</w:t>
      </w:r>
    </w:p>
    <w:p>
      <w:pPr>
        <w:pStyle w:val="BodyText"/>
        <w:spacing w:line="336" w:lineRule="auto" w:before="154"/>
        <w:ind w:left="218" w:right="208" w:firstLine="479"/>
        <w:jc w:val="both"/>
      </w:pPr>
      <w:r>
        <w:rPr/>
        <w:t>根据工程分析，本项目施工废水总量约</w:t>
      </w:r>
      <w:r>
        <w:rPr>
          <w:rFonts w:ascii="Times New Roman" w:hAnsi="Times New Roman" w:eastAsia="Times New Roman"/>
        </w:rPr>
        <w:t>7.2m</w:t>
      </w:r>
      <w:r>
        <w:rPr>
          <w:rFonts w:ascii="Times New Roman" w:hAnsi="Times New Roman" w:eastAsia="Times New Roman"/>
          <w:position w:val="11"/>
          <w:sz w:val="16"/>
        </w:rPr>
        <w:t>3</w:t>
      </w:r>
      <w:r>
        <w:rPr>
          <w:rFonts w:ascii="Times New Roman" w:hAnsi="Times New Roman" w:eastAsia="Times New Roman"/>
        </w:rPr>
        <w:t>/d</w:t>
      </w:r>
      <w:r>
        <w:rPr/>
        <w:t>，主要水污染物为</w:t>
      </w:r>
      <w:r>
        <w:rPr>
          <w:rFonts w:ascii="Times New Roman" w:hAnsi="Times New Roman" w:eastAsia="Times New Roman"/>
        </w:rPr>
        <w:t>COD</w:t>
      </w:r>
      <w:r>
        <w:rPr/>
        <w:t>、</w:t>
      </w:r>
      <w:r>
        <w:rPr>
          <w:rFonts w:ascii="Times New Roman" w:hAnsi="Times New Roman" w:eastAsia="Times New Roman"/>
        </w:rPr>
        <w:t>SS </w:t>
      </w:r>
      <w:r>
        <w:rPr>
          <w:spacing w:val="-1"/>
        </w:rPr>
        <w:t>和石油类，</w:t>
      </w:r>
      <w:r>
        <w:rPr>
          <w:b/>
          <w:spacing w:val="2"/>
          <w:w w:val="99"/>
        </w:rPr>
        <w:t>采取了</w:t>
      </w:r>
      <w:r>
        <w:rPr>
          <w:spacing w:val="-2"/>
        </w:rPr>
        <w:t>在施工出入口处设置</w:t>
      </w:r>
      <w:r>
        <w:rPr>
          <w:rFonts w:ascii="Times New Roman" w:hAnsi="Times New Roman" w:eastAsia="Times New Roman"/>
        </w:rPr>
        <w:t>1</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t>个临时沉淀池</w:t>
      </w: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，本项目施工废水全部进入临时隔油池、沉淀池处理，经除油、沉淀后回用于工地降尘，不外排。</w:t>
      </w:r>
    </w:p>
    <w:p>
      <w:pPr>
        <w:pStyle w:val="BodyText"/>
        <w:spacing w:before="58"/>
        <w:ind w:left="698"/>
      </w:pPr>
      <w:r>
        <w:rPr/>
        <w:t>③生活污水</w:t>
      </w:r>
    </w:p>
    <w:p>
      <w:pPr>
        <w:pStyle w:val="BodyText"/>
        <w:spacing w:line="348" w:lineRule="auto" w:before="151"/>
        <w:ind w:left="218" w:right="113" w:firstLine="479"/>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5" w:lineRule="auto" w:before="45"/>
        <w:ind w:left="218" w:right="214" w:firstLine="482"/>
        <w:jc w:val="both"/>
      </w:pPr>
      <w:r>
        <w:rPr>
          <w:spacing w:val="-12"/>
          <w:w w:val="95"/>
        </w:rPr>
        <w:t>因此，在采取上述措施后，本项目施工期生产废水和生活污水不会对当地地  表水水体水质造成明显影响。</w:t>
      </w:r>
    </w:p>
    <w:p>
      <w:pPr>
        <w:spacing w:before="38"/>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5" w:lineRule="auto" w:before="135"/>
        <w:ind w:left="218" w:right="211" w:firstLine="479"/>
        <w:jc w:val="both"/>
      </w:pPr>
      <w:r>
        <w:rPr>
          <w:spacing w:val="-4"/>
        </w:rPr>
        <w:t>项目施工期产生的固体废弃物主要有施工人员生活垃圾、路基开挖时产生的</w:t>
      </w:r>
      <w:r>
        <w:rPr>
          <w:spacing w:val="-1"/>
        </w:rPr>
        <w:t>弃方。</w:t>
      </w:r>
    </w:p>
    <w:p>
      <w:pPr>
        <w:pStyle w:val="BodyText"/>
        <w:spacing w:before="38"/>
        <w:ind w:left="698"/>
      </w:pPr>
      <w:r>
        <w:rPr/>
        <w:t>（</w:t>
      </w:r>
      <w:r>
        <w:rPr>
          <w:rFonts w:ascii="Times New Roman" w:eastAsia="Times New Roman"/>
        </w:rPr>
        <w:t>1</w:t>
      </w:r>
      <w:r>
        <w:rPr/>
        <w:t>）生活垃圾</w:t>
      </w:r>
    </w:p>
    <w:p>
      <w:pPr>
        <w:pStyle w:val="BodyText"/>
        <w:spacing w:line="357" w:lineRule="auto" w:before="133"/>
        <w:ind w:left="218" w:right="125" w:firstLine="479"/>
        <w:jc w:val="both"/>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2"/>
        <w:ind w:left="698"/>
      </w:pPr>
      <w:r>
        <w:rPr/>
        <w:t>（</w:t>
      </w:r>
      <w:r>
        <w:rPr>
          <w:rFonts w:ascii="Times New Roman" w:eastAsia="Times New Roman"/>
        </w:rPr>
        <w:t>2</w:t>
      </w:r>
      <w:r>
        <w:rPr/>
        <w:t>）施工土石方</w:t>
      </w:r>
    </w:p>
    <w:p>
      <w:pPr>
        <w:pStyle w:val="BodyText"/>
        <w:spacing w:line="345" w:lineRule="auto" w:before="135"/>
        <w:ind w:left="218" w:right="211" w:firstLine="479"/>
        <w:jc w:val="both"/>
      </w:pPr>
      <w:r>
        <w:rPr>
          <w:spacing w:val="-11"/>
        </w:rPr>
        <w:t>本项目挖方 </w:t>
      </w:r>
      <w:r>
        <w:rPr>
          <w:rFonts w:ascii="Times New Roman" w:eastAsia="Times New Roman"/>
        </w:rPr>
        <w:t>1062m</w:t>
      </w:r>
      <w:r>
        <w:rPr>
          <w:rFonts w:ascii="Times New Roman" w:eastAsia="Times New Roman"/>
          <w:position w:val="11"/>
          <w:sz w:val="16"/>
        </w:rPr>
        <w:t>3</w:t>
      </w:r>
      <w:r>
        <w:rPr>
          <w:spacing w:val="-10"/>
        </w:rPr>
        <w:t>，无填方，弃方 </w:t>
      </w:r>
      <w:r>
        <w:rPr>
          <w:rFonts w:ascii="Times New Roman" w:eastAsia="Times New Roman"/>
        </w:rPr>
        <w:t>1062m</w:t>
      </w:r>
      <w:r>
        <w:rPr>
          <w:rFonts w:ascii="Times New Roman" w:eastAsia="Times New Roman"/>
          <w:position w:val="11"/>
          <w:sz w:val="16"/>
        </w:rPr>
        <w:t>3</w:t>
      </w:r>
      <w:r>
        <w:rPr>
          <w:spacing w:val="-1"/>
        </w:rPr>
        <w:t>，弃方运至指定堆场堆放。施工</w:t>
      </w:r>
      <w:r>
        <w:rPr>
          <w:spacing w:val="-5"/>
        </w:rPr>
        <w:t>期产生的土方不能及时回填的堆放在施工现场区域范围内，采用毡布或防尘布覆</w:t>
      </w:r>
      <w:r>
        <w:rPr>
          <w:spacing w:val="-1"/>
        </w:rPr>
        <w:t>盖。</w:t>
      </w:r>
    </w:p>
    <w:p>
      <w:pPr>
        <w:spacing w:line="357" w:lineRule="auto" w:before="46"/>
        <w:ind w:left="218" w:right="212" w:firstLine="479"/>
        <w:jc w:val="both"/>
        <w:rPr>
          <w:b/>
          <w:sz w:val="24"/>
        </w:rPr>
      </w:pPr>
      <w:r>
        <w:rPr>
          <w:spacing w:val="-9"/>
          <w:sz w:val="24"/>
        </w:rPr>
        <w:t>同时，为避免弃土运输过程中对周围环境造成影响，</w:t>
      </w:r>
      <w:r>
        <w:rPr>
          <w:b/>
          <w:sz w:val="24"/>
        </w:rPr>
        <w:t>采取了应选择对周边环</w:t>
      </w:r>
      <w:r>
        <w:rPr>
          <w:b/>
          <w:spacing w:val="-8"/>
          <w:w w:val="95"/>
          <w:sz w:val="24"/>
        </w:rPr>
        <w:t>境影响较小的运输路线，且在运输过程中运输车辆必须使用篷布遮盖，在运输至  </w:t>
      </w:r>
      <w:r>
        <w:rPr>
          <w:b/>
          <w:spacing w:val="-14"/>
          <w:sz w:val="24"/>
        </w:rPr>
        <w:t>靠近的道路时，应加强对司机人员的管理，小心驾驶，以免发生事故导致车辆翻</w:t>
      </w:r>
      <w:r>
        <w:rPr>
          <w:b/>
          <w:spacing w:val="-14"/>
          <w:w w:val="95"/>
          <w:sz w:val="24"/>
        </w:rPr>
        <w:t>倒而造成环境污染。</w:t>
      </w:r>
    </w:p>
    <w:p>
      <w:pPr>
        <w:pStyle w:val="Heading3"/>
        <w:spacing w:line="357" w:lineRule="auto" w:before="34"/>
        <w:ind w:left="218" w:right="215" w:firstLine="482"/>
        <w:jc w:val="both"/>
      </w:pPr>
      <w:r>
        <w:rPr>
          <w:spacing w:val="-11"/>
          <w:w w:val="95"/>
        </w:rPr>
        <w:t>因此，本项目施工期固体废弃物均将得到有效的处置，不会对周围环境造成  二次污染。</w:t>
      </w:r>
    </w:p>
    <w:p>
      <w:pPr>
        <w:spacing w:before="36"/>
        <w:ind w:left="700" w:right="0" w:firstLine="0"/>
        <w:jc w:val="left"/>
        <w:rPr>
          <w:b/>
          <w:sz w:val="24"/>
        </w:rPr>
      </w:pPr>
      <w:r>
        <w:rPr>
          <w:rFonts w:ascii="Times New Roman" w:eastAsia="Times New Roman"/>
          <w:b/>
          <w:w w:val="95"/>
          <w:sz w:val="24"/>
        </w:rPr>
        <w:t>5</w:t>
      </w:r>
      <w:r>
        <w:rPr>
          <w:b/>
          <w:w w:val="95"/>
          <w:sz w:val="24"/>
        </w:rPr>
        <w:t>、施工期社会环境影响分析</w:t>
      </w:r>
    </w:p>
    <w:p>
      <w:pPr>
        <w:pStyle w:val="BodyText"/>
        <w:spacing w:before="133"/>
        <w:ind w:left="698"/>
      </w:pPr>
      <w:r>
        <w:rPr/>
        <w:t>（</w:t>
      </w:r>
      <w:r>
        <w:rPr>
          <w:rFonts w:ascii="Times New Roman" w:eastAsia="Times New Roman"/>
        </w:rPr>
        <w:t>1</w:t>
      </w:r>
      <w:r>
        <w:rPr/>
        <w:t>）施工期交通影响分析</w:t>
      </w:r>
    </w:p>
    <w:p>
      <w:pPr>
        <w:pStyle w:val="BodyText"/>
        <w:spacing w:before="136"/>
        <w:ind w:left="698"/>
      </w:pPr>
      <w:r>
        <w:rPr/>
        <w:t>工程施工过程中，可能将会妨碍附近周边道路的正常通行，还可能在一定施</w:t>
      </w:r>
    </w:p>
    <w:p>
      <w:pPr>
        <w:spacing w:after="0"/>
        <w:sectPr>
          <w:pgSz w:w="11910" w:h="16850"/>
          <w:pgMar w:header="0" w:footer="1141" w:top="1400" w:bottom="1400" w:left="1580" w:right="1580"/>
        </w:sectPr>
      </w:pPr>
    </w:p>
    <w:p>
      <w:pPr>
        <w:pStyle w:val="BodyText"/>
        <w:spacing w:line="357" w:lineRule="auto" w:before="9"/>
        <w:ind w:left="218" w:right="147"/>
      </w:pPr>
      <w:r>
        <w:rPr/>
        <w:pict>
          <v:group style="position:absolute;margin-left:84.253998pt;margin-top:71.749977pt;width:427.1pt;height:698.7pt;mso-position-horizontal-relative:page;mso-position-vertical-relative:page;z-index:-19758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6"/>
        </w:rPr>
        <w:t>工阶段短时间阻断交通，或因施工现场交通指挥调度不当，导致临近施工路段路口交通堵塞，甚至可能会引发一定范围的暂时交通堵塞。</w:t>
      </w:r>
    </w:p>
    <w:p>
      <w:pPr>
        <w:pStyle w:val="BodyText"/>
        <w:spacing w:line="357" w:lineRule="auto" w:before="34"/>
        <w:ind w:left="218" w:right="231" w:firstLine="479"/>
        <w:jc w:val="both"/>
      </w:pPr>
      <w:r>
        <w:rPr>
          <w:spacing w:val="-6"/>
        </w:rPr>
        <w:t>根据业主提供资料，在施工期间，项目</w:t>
      </w:r>
      <w:r>
        <w:rPr>
          <w:b/>
        </w:rPr>
        <w:t>采取全封闭施工的方式</w:t>
      </w:r>
      <w:r>
        <w:rPr>
          <w:spacing w:val="-7"/>
        </w:rPr>
        <w:t>，在施工路口</w:t>
      </w:r>
      <w:r>
        <w:rPr>
          <w:spacing w:val="-11"/>
        </w:rPr>
        <w:t>设置标识牌，并尽量缩短工期，制定切实可行的交通应急预案，积极配合交管部</w:t>
      </w:r>
      <w:r>
        <w:rPr>
          <w:spacing w:val="-15"/>
        </w:rPr>
        <w:t>门加强施工路段的交通管理，确保交通畅通，将项目施工对当地交通运输造成的影响降到最低。</w:t>
      </w:r>
    </w:p>
    <w:p>
      <w:pPr>
        <w:pStyle w:val="BodyText"/>
        <w:spacing w:before="34"/>
        <w:ind w:left="698"/>
      </w:pPr>
      <w:r>
        <w:rPr/>
        <w:t>（</w:t>
      </w:r>
      <w:r>
        <w:rPr>
          <w:rFonts w:ascii="Times New Roman" w:eastAsia="Times New Roman"/>
        </w:rPr>
        <w:t>2</w:t>
      </w:r>
      <w:r>
        <w:rPr/>
        <w:t>）施工对沿线居民的影响分析</w:t>
      </w:r>
    </w:p>
    <w:p>
      <w:pPr>
        <w:pStyle w:val="BodyText"/>
        <w:spacing w:line="357" w:lineRule="auto" w:before="136"/>
        <w:ind w:left="218" w:right="232" w:firstLine="479"/>
        <w:jc w:val="both"/>
      </w:pPr>
      <w:r>
        <w:rPr>
          <w:spacing w:val="-5"/>
        </w:rPr>
        <w:t>项目施工沿线居民主要为沿线居民，项目施工期引起噪声、扬尘、废水的排</w:t>
      </w:r>
      <w:r>
        <w:rPr>
          <w:spacing w:val="-11"/>
        </w:rPr>
        <w:t>放将对沿线环境造成影响，进而影响这部分住户的生活质量，但项目将采取严格</w:t>
      </w:r>
      <w:r>
        <w:rPr>
          <w:spacing w:val="-14"/>
        </w:rPr>
        <w:t>的污染防治及减缓措施，对沿线住户的影响减至最低程度，而且这种影响是暂时的，随着工程的结束而消失。</w:t>
      </w:r>
    </w:p>
    <w:p>
      <w:pPr>
        <w:pStyle w:val="Heading3"/>
        <w:spacing w:line="357" w:lineRule="auto" w:before="36"/>
        <w:ind w:left="218" w:firstLine="482"/>
      </w:pPr>
      <w:r>
        <w:rPr>
          <w:spacing w:val="-17"/>
        </w:rPr>
        <w:t>综上所述，本项目施工期对环境存在一定的影响，但是这些影响具有时效性， </w:t>
      </w:r>
      <w:r>
        <w:rPr>
          <w:spacing w:val="-17"/>
          <w:w w:val="95"/>
        </w:rPr>
        <w:t>施工期间通过采取有效的污染防治措施后，可将这些影响降至最低。</w:t>
      </w:r>
    </w:p>
    <w:p>
      <w:pPr>
        <w:spacing w:before="33"/>
        <w:ind w:left="700" w:right="0" w:firstLine="0"/>
        <w:jc w:val="left"/>
        <w:rPr>
          <w:b/>
          <w:sz w:val="24"/>
        </w:rPr>
      </w:pPr>
      <w:r>
        <w:rPr>
          <w:b/>
          <w:w w:val="95"/>
          <w:sz w:val="24"/>
        </w:rPr>
        <w:t>二、营运期环境影响分析</w:t>
      </w:r>
    </w:p>
    <w:p>
      <w:pPr>
        <w:spacing w:before="153"/>
        <w:ind w:left="700" w:right="0" w:firstLine="0"/>
        <w:jc w:val="left"/>
        <w:rPr>
          <w:b/>
          <w:sz w:val="24"/>
        </w:rPr>
      </w:pPr>
      <w:r>
        <w:rPr>
          <w:rFonts w:ascii="Times New Roman" w:eastAsia="Times New Roman"/>
          <w:b/>
          <w:w w:val="95"/>
          <w:sz w:val="24"/>
        </w:rPr>
        <w:t>1</w:t>
      </w:r>
      <w:r>
        <w:rPr>
          <w:b/>
          <w:w w:val="95"/>
          <w:sz w:val="24"/>
        </w:rPr>
        <w:t>、地表水环境影响分析</w:t>
      </w:r>
    </w:p>
    <w:p>
      <w:pPr>
        <w:pStyle w:val="BodyText"/>
        <w:spacing w:line="357" w:lineRule="auto" w:before="133"/>
        <w:ind w:left="218" w:right="232" w:firstLine="479"/>
        <w:jc w:val="both"/>
      </w:pP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w:t>
      </w:r>
    </w:p>
    <w:p>
      <w:pPr>
        <w:pStyle w:val="BodyText"/>
        <w:spacing w:line="355" w:lineRule="auto" w:before="36"/>
        <w:ind w:left="218" w:right="145" w:firstLine="479"/>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8"/>
        <w:ind w:left="218" w:right="231" w:firstLine="479"/>
        <w:jc w:val="both"/>
      </w:pPr>
      <w:r>
        <w:rPr>
          <w:spacing w:val="-6"/>
        </w:rPr>
        <w:t>营运期因车辆事故造成有毒、有害物质外泄，在未采取应急措施进行处理的</w:t>
      </w:r>
      <w:r>
        <w:rPr>
          <w:spacing w:val="-10"/>
        </w:rPr>
        <w:t>情况下，致使有毒、有害物质进入新宁河而造成污染事故。本道路禁止进行危险</w:t>
      </w:r>
      <w:r>
        <w:rPr>
          <w:spacing w:val="-1"/>
        </w:rPr>
        <w:t>品运输，营运期应加强交通管理措施，避免类似事故发生。</w:t>
      </w:r>
    </w:p>
    <w:p>
      <w:pPr>
        <w:pStyle w:val="BodyText"/>
        <w:spacing w:before="33"/>
        <w:ind w:left="698"/>
      </w:pPr>
      <w:r>
        <w:rPr/>
        <w:t>为减轻路面径流对区域地表水体的影响，采取以下措施：</w:t>
      </w:r>
    </w:p>
    <w:p>
      <w:pPr>
        <w:pStyle w:val="BodyText"/>
        <w:spacing w:line="357" w:lineRule="auto" w:before="153"/>
        <w:ind w:left="218" w:right="231" w:firstLine="479"/>
        <w:jc w:val="both"/>
      </w:pPr>
      <w:r>
        <w:rPr>
          <w:spacing w:val="-6"/>
        </w:rPr>
        <w:t>①植被控制措施：在道路沿线两侧密植植物，通过吸附、沉淀、过滤和生物</w:t>
      </w:r>
      <w:r>
        <w:rPr>
          <w:spacing w:val="-11"/>
        </w:rPr>
        <w:t>吸收等作用，将污染物从径流中有效分离出来，达到改善径流水质和保护地表水</w:t>
      </w:r>
      <w:r>
        <w:rPr>
          <w:spacing w:val="-1"/>
        </w:rPr>
        <w:t>体的目的；</w:t>
      </w:r>
    </w:p>
    <w:p>
      <w:pPr>
        <w:pStyle w:val="BodyText"/>
        <w:spacing w:line="357" w:lineRule="auto" w:before="35"/>
        <w:ind w:left="218" w:right="232" w:firstLine="479"/>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spacing w:after="0" w:line="357" w:lineRule="auto"/>
        <w:jc w:val="both"/>
        <w:sectPr>
          <w:pgSz w:w="11910" w:h="16850"/>
          <w:pgMar w:header="0" w:footer="1141" w:top="1400" w:bottom="1400" w:left="1580" w:right="1560"/>
        </w:sectPr>
      </w:pPr>
    </w:p>
    <w:p>
      <w:pPr>
        <w:pStyle w:val="BodyText"/>
        <w:spacing w:before="9"/>
        <w:ind w:left="698"/>
      </w:pPr>
      <w:r>
        <w:rPr/>
        <w:pict>
          <v:group style="position:absolute;margin-left:84.253998pt;margin-top:71.749977pt;width:427.1pt;height:698.7pt;mso-position-horizontal-relative:page;mso-position-vertical-relative:page;z-index:-19756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在采取以上措施后，营运期路面径流不会对周边水体水质造成明显的影响。</w:t>
      </w:r>
    </w:p>
    <w:p>
      <w:pPr>
        <w:pStyle w:val="Heading3"/>
        <w:spacing w:before="154"/>
      </w:pPr>
      <w:r>
        <w:rPr>
          <w:rFonts w:ascii="Times New Roman" w:eastAsia="Times New Roman"/>
          <w:w w:val="95"/>
        </w:rPr>
        <w:t>2</w:t>
      </w:r>
      <w:r>
        <w:rPr>
          <w:w w:val="95"/>
        </w:rPr>
        <w:t>、大气环境影响分析</w:t>
      </w:r>
    </w:p>
    <w:p>
      <w:pPr>
        <w:pStyle w:val="BodyText"/>
        <w:spacing w:line="357" w:lineRule="auto" w:before="133"/>
        <w:ind w:left="218" w:right="277" w:firstLine="479"/>
        <w:jc w:val="both"/>
      </w:pPr>
      <w:r>
        <w:rPr/>
        <w:t>营运期主要大气污染物为道路清扫产生的扬尘、车辆行驶产生的交通扬尘以及汽车尾气。</w:t>
      </w:r>
    </w:p>
    <w:p>
      <w:pPr>
        <w:pStyle w:val="BodyText"/>
        <w:spacing w:line="357" w:lineRule="auto" w:before="33"/>
        <w:ind w:left="218" w:right="277" w:firstLine="479"/>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5" w:lineRule="auto" w:before="35"/>
        <w:ind w:left="218" w:right="277" w:firstLine="479"/>
        <w:jc w:val="both"/>
      </w:pPr>
      <w:r>
        <w:rPr/>
        <w:t>交通扬尘：本项目为城市区域道路，路面为沥青路面且每天有专人清扫， 因此，交 通扬尘产生量也很少。对周围的环境影响较小。</w:t>
      </w:r>
    </w:p>
    <w:p>
      <w:pPr>
        <w:pStyle w:val="BodyText"/>
        <w:spacing w:line="345" w:lineRule="auto" w:before="38"/>
        <w:ind w:left="218" w:right="268" w:firstLine="479"/>
        <w:jc w:val="both"/>
      </w:pPr>
      <w:r>
        <w:rPr>
          <w:spacing w:val="-7"/>
        </w:rPr>
        <w:t>汽车尾气：汽车尾气中主要污染源有碳氢化合物</w:t>
      </w:r>
      <w:r>
        <w:rPr>
          <w:spacing w:val="1"/>
        </w:rPr>
        <w:t>（</w:t>
      </w:r>
      <w:r>
        <w:rPr>
          <w:rFonts w:ascii="Times New Roman" w:eastAsia="Times New Roman"/>
          <w:spacing w:val="-1"/>
          <w:w w:val="99"/>
        </w:rPr>
        <w:t>H</w:t>
      </w:r>
      <w:r>
        <w:rPr>
          <w:rFonts w:ascii="Times New Roman" w:eastAsia="Times New Roman"/>
          <w:w w:val="99"/>
        </w:rPr>
        <w:t>C</w:t>
      </w:r>
      <w:r>
        <w:rPr>
          <w:spacing w:val="-120"/>
        </w:rPr>
        <w:t>）</w:t>
      </w:r>
      <w:r>
        <w:rPr>
          <w:spacing w:val="-12"/>
        </w:rPr>
        <w:t>、氮氧化物</w:t>
      </w:r>
      <w:r>
        <w:rPr/>
        <w:t>（</w:t>
      </w:r>
      <w:r>
        <w:rPr>
          <w:rFonts w:ascii="Times New Roman" w:eastAsia="Times New Roman"/>
          <w:spacing w:val="-1"/>
          <w:w w:val="99"/>
        </w:rPr>
        <w:t>NO</w:t>
      </w:r>
      <w:r>
        <w:rPr>
          <w:rFonts w:ascii="Times New Roman" w:eastAsia="Times New Roman"/>
          <w:spacing w:val="2"/>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rPr>
        <w:t>一定程度的空气污染，其主要为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spacing w:val="-21"/>
        </w:rPr>
        <w:t>、和 </w:t>
      </w:r>
      <w:r>
        <w:rPr>
          <w:rFonts w:ascii="Times New Roman" w:eastAsia="Times New Roman"/>
        </w:rPr>
        <w:t>CO </w:t>
      </w:r>
      <w:r>
        <w:rPr>
          <w:spacing w:val="-1"/>
        </w:rPr>
        <w:t>等污染物。</w:t>
      </w:r>
    </w:p>
    <w:p>
      <w:pPr>
        <w:pStyle w:val="BodyText"/>
        <w:spacing w:line="345" w:lineRule="auto"/>
        <w:ind w:left="218" w:right="252" w:firstLine="479"/>
      </w:pPr>
      <w:r>
        <w:rPr/>
        <w:t>污染物的排放量与交通量成正相关关系，与汽车的类型和运行工况有关。项目交通量小，通行车辆绝大多数为小型车，据同类道路的类比结果，在本项</w:t>
      </w:r>
      <w:r>
        <w:rPr>
          <w:spacing w:val="-3"/>
        </w:rPr>
        <w:t>目营运远期最大交 通量的情况下，道路沿线区域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rFonts w:ascii="Times New Roman" w:eastAsia="Times New Roman"/>
          <w:spacing w:val="22"/>
        </w:rPr>
        <w:t> </w:t>
      </w:r>
      <w:r>
        <w:rPr>
          <w:spacing w:val="-19"/>
        </w:rPr>
        <w:t>和 </w:t>
      </w:r>
      <w:r>
        <w:rPr>
          <w:rFonts w:ascii="Times New Roman" w:eastAsia="Times New Roman"/>
        </w:rPr>
        <w:t>CO</w:t>
      </w:r>
      <w:r>
        <w:rPr>
          <w:rFonts w:ascii="Times New Roman" w:eastAsia="Times New Roman"/>
          <w:spacing w:val="22"/>
        </w:rPr>
        <w:t> </w:t>
      </w:r>
      <w:r>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 对道路沿线区域影响甚微。</w:t>
      </w:r>
    </w:p>
    <w:p>
      <w:pPr>
        <w:pStyle w:val="BodyText"/>
        <w:spacing w:line="355" w:lineRule="auto" w:before="48"/>
        <w:ind w:left="218" w:firstLine="479"/>
      </w:pPr>
      <w:r>
        <w:rPr/>
        <w:t>从环保角度考虑，为尽可能减少项目对区域环境空气的影响，对于运营期， 采取了相关单位做好运营期的道路交通管理措施：</w:t>
      </w:r>
    </w:p>
    <w:p>
      <w:pPr>
        <w:pStyle w:val="BodyText"/>
        <w:spacing w:before="39"/>
        <w:ind w:left="698"/>
      </w:pPr>
      <w:r>
        <w:rPr/>
        <w:t>（</w:t>
      </w:r>
      <w:r>
        <w:rPr>
          <w:rFonts w:ascii="Times New Roman" w:eastAsia="Times New Roman"/>
        </w:rPr>
        <w:t>1</w:t>
      </w:r>
      <w:r>
        <w:rPr/>
        <w:t>）执行车检制，限制尾气排放超标的车辆上路；</w:t>
      </w:r>
    </w:p>
    <w:p>
      <w:pPr>
        <w:pStyle w:val="BodyText"/>
        <w:spacing w:line="338" w:lineRule="auto" w:before="133"/>
        <w:ind w:left="218" w:right="269" w:firstLine="479"/>
        <w:jc w:val="both"/>
      </w:pPr>
      <w:r>
        <w:rPr>
          <w:spacing w:val="-3"/>
        </w:rPr>
        <w:t>（</w:t>
      </w:r>
      <w:r>
        <w:rPr>
          <w:rFonts w:ascii="Times New Roman" w:eastAsia="Times New Roman"/>
          <w:spacing w:val="-3"/>
        </w:rPr>
        <w:t>2</w:t>
      </w:r>
      <w:r>
        <w:rPr>
          <w:spacing w:val="-3"/>
        </w:rPr>
        <w:t>）</w:t>
      </w:r>
      <w:r>
        <w:rPr>
          <w:spacing w:val="-2"/>
        </w:rPr>
        <w:t>加大环境管理力度，道路管理部门设立环境管理机构，委托环境监测单位定期在环评报告中规定的监测点进行环境空气监测。</w:t>
      </w:r>
    </w:p>
    <w:p>
      <w:pPr>
        <w:pStyle w:val="Heading3"/>
        <w:spacing w:before="53"/>
      </w:pPr>
      <w:r>
        <w:rPr>
          <w:rFonts w:ascii="Times New Roman" w:eastAsia="Times New Roman"/>
          <w:w w:val="95"/>
        </w:rPr>
        <w:t>3</w:t>
      </w:r>
      <w:r>
        <w:rPr>
          <w:w w:val="95"/>
        </w:rPr>
        <w:t>、声环境影响分析</w:t>
      </w:r>
    </w:p>
    <w:p>
      <w:pPr>
        <w:pStyle w:val="BodyText"/>
        <w:spacing w:line="343" w:lineRule="auto" w:before="135"/>
        <w:ind w:left="218" w:right="268" w:firstLine="479"/>
        <w:jc w:val="both"/>
      </w:pPr>
      <w:r>
        <w:rPr/>
        <w:t>营运期噪声污染源主要为交通噪声。车辆行驶辐射噪声级与车速、车辆类</w:t>
      </w:r>
      <w:r>
        <w:rPr>
          <w:spacing w:val="-7"/>
        </w:rPr>
        <w:t>型和桥面类型有关。本项目道路设计时速为 </w:t>
      </w:r>
      <w:r>
        <w:rPr>
          <w:rFonts w:ascii="Times New Roman" w:eastAsia="Times New Roman"/>
          <w:spacing w:val="-5"/>
        </w:rPr>
        <w:t>20km/h</w:t>
      </w:r>
      <w:r>
        <w:rPr>
          <w:spacing w:val="-11"/>
        </w:rPr>
        <w:t>，路基宽度为 </w:t>
      </w:r>
      <w:r>
        <w:rPr>
          <w:rFonts w:ascii="Times New Roman" w:eastAsia="Times New Roman"/>
        </w:rPr>
        <w:t>16 </w:t>
      </w:r>
      <w:r>
        <w:rPr>
          <w:spacing w:val="-8"/>
        </w:rPr>
        <w:t>米。本次评</w:t>
      </w:r>
      <w:r>
        <w:rPr>
          <w:spacing w:val="-6"/>
        </w:rPr>
        <w:t>价采用《环境影响评价技术导则</w:t>
      </w:r>
      <w:r>
        <w:rPr>
          <w:rFonts w:ascii="Times New Roman" w:eastAsia="Times New Roman"/>
        </w:rPr>
        <w:t>-</w:t>
      </w:r>
      <w:r>
        <w:rPr>
          <w:spacing w:val="-6"/>
        </w:rPr>
        <w:t>声环境》</w:t>
      </w:r>
      <w:r>
        <w:rPr>
          <w:rFonts w:ascii="Times New Roman" w:eastAsia="Times New Roman"/>
        </w:rPr>
        <w:t>(HJ/T2.4-2009)</w:t>
      </w:r>
      <w:r>
        <w:rPr/>
        <w:t>中推荐的噪声预测模式进行预测。</w:t>
      </w:r>
    </w:p>
    <w:p>
      <w:pPr>
        <w:spacing w:after="0" w:line="343" w:lineRule="auto"/>
        <w:jc w:val="both"/>
        <w:sectPr>
          <w:pgSz w:w="11910" w:h="16850"/>
          <w:pgMar w:header="0" w:footer="1141" w:top="1400" w:bottom="1400" w:left="1580" w:right="1580"/>
        </w:sectPr>
      </w:pPr>
    </w:p>
    <w:p>
      <w:pPr>
        <w:pStyle w:val="BodyText"/>
        <w:spacing w:line="338" w:lineRule="auto" w:before="9"/>
        <w:ind w:left="218" w:right="252" w:firstLine="479"/>
      </w:pPr>
      <w:r>
        <w:rPr/>
        <w:t>本次评价采用《环境影响评价技术导则</w:t>
      </w:r>
      <w:r>
        <w:rPr>
          <w:rFonts w:ascii="Times New Roman" w:eastAsia="Times New Roman"/>
        </w:rPr>
        <w:t>-</w:t>
      </w:r>
      <w:r>
        <w:rPr/>
        <w:t>声环境》</w:t>
      </w:r>
      <w:r>
        <w:rPr>
          <w:rFonts w:ascii="Times New Roman" w:eastAsia="Times New Roman"/>
        </w:rPr>
        <w:t>(HJ 2.4-2009)</w:t>
      </w:r>
      <w:r>
        <w:rPr/>
        <w:t>中推荐的噪声预测模式进行预测。</w:t>
      </w:r>
    </w:p>
    <w:p>
      <w:pPr>
        <w:pStyle w:val="BodyText"/>
        <w:spacing w:before="53"/>
        <w:ind w:left="698"/>
      </w:pPr>
      <w:r>
        <w:rPr/>
        <w:t>（</w:t>
      </w:r>
      <w:r>
        <w:rPr>
          <w:rFonts w:ascii="Times New Roman" w:eastAsia="Times New Roman"/>
        </w:rPr>
        <w:t>1</w:t>
      </w:r>
      <w:r>
        <w:rPr/>
        <w:t>）车速 </w:t>
      </w:r>
    </w:p>
    <w:p>
      <w:pPr>
        <w:pStyle w:val="BodyText"/>
        <w:spacing w:before="135"/>
        <w:ind w:left="698"/>
      </w:pPr>
      <w:r>
        <w:rPr/>
        <w:t>车速计算参考公式如下：</w:t>
      </w:r>
    </w:p>
    <w:p>
      <w:pPr>
        <w:spacing w:after="0"/>
        <w:sectPr>
          <w:pgSz w:w="11910" w:h="16850"/>
          <w:pgMar w:header="0" w:footer="1141" w:top="1400" w:bottom="1400" w:left="1580" w:right="1580"/>
        </w:sectPr>
      </w:pPr>
    </w:p>
    <w:p>
      <w:pPr>
        <w:pStyle w:val="BodyText"/>
        <w:spacing w:before="9"/>
        <w:rPr>
          <w:sz w:val="22"/>
        </w:rPr>
      </w:pPr>
    </w:p>
    <w:p>
      <w:pPr>
        <w:spacing w:before="0"/>
        <w:ind w:left="0" w:right="0" w:firstLine="0"/>
        <w:jc w:val="right"/>
        <w:rPr>
          <w:rFonts w:ascii="Times New Roman" w:hAnsi="Times New Roman"/>
          <w:i/>
          <w:sz w:val="14"/>
        </w:rPr>
      </w:pPr>
      <w:r>
        <w:rPr>
          <w:rFonts w:ascii="Times New Roman" w:hAnsi="Times New Roman"/>
          <w:i/>
          <w:sz w:val="24"/>
        </w:rPr>
        <w:t>v</w: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1</w:t>
      </w:r>
      <w:r>
        <w:rPr>
          <w:rFonts w:ascii="Times New Roman" w:hAnsi="Times New Roman"/>
          <w:i/>
          <w:sz w:val="24"/>
        </w:rPr>
        <w:t>u</w:t>
      </w:r>
      <w:r>
        <w:rPr>
          <w:rFonts w:ascii="Times New Roman" w:hAnsi="Times New Roman"/>
          <w:i/>
          <w:position w:val="-5"/>
          <w:sz w:val="14"/>
        </w:rPr>
        <w:t>i</w:t>
      </w:r>
    </w:p>
    <w:p>
      <w:pPr>
        <w:pStyle w:val="BodyText"/>
        <w:spacing w:before="10"/>
        <w:rPr>
          <w:rFonts w:ascii="Times New Roman"/>
          <w:i/>
          <w:sz w:val="25"/>
        </w:rPr>
      </w:pPr>
      <w:r>
        <w:rPr/>
        <w:br w:type="column"/>
      </w:r>
      <w:r>
        <w:rPr>
          <w:rFonts w:ascii="Times New Roman"/>
          <w:i/>
          <w:sz w:val="25"/>
        </w:rPr>
      </w:r>
    </w:p>
    <w:p>
      <w:pPr>
        <w:pStyle w:val="ListParagraph"/>
        <w:numPr>
          <w:ilvl w:val="0"/>
          <w:numId w:val="5"/>
        </w:numPr>
        <w:tabs>
          <w:tab w:pos="228" w:val="left" w:leader="none"/>
        </w:tabs>
        <w:spacing w:line="240" w:lineRule="auto" w:before="0" w:after="0"/>
        <w:ind w:left="227" w:right="0" w:hanging="183"/>
        <w:jc w:val="left"/>
        <w:rPr>
          <w:rFonts w:ascii="Times New Roman"/>
          <w:sz w:val="14"/>
        </w:rPr>
      </w:pPr>
      <w:r>
        <w:rPr>
          <w:rFonts w:ascii="Times New Roman"/>
          <w:i/>
          <w:spacing w:val="8"/>
          <w:sz w:val="24"/>
        </w:rPr>
        <w:t>k</w:t>
      </w:r>
      <w:r>
        <w:rPr>
          <w:rFonts w:ascii="Times New Roman"/>
          <w:spacing w:val="8"/>
          <w:position w:val="-5"/>
          <w:sz w:val="14"/>
        </w:rPr>
        <w:t>2</w:t>
      </w:r>
    </w:p>
    <w:p>
      <w:pPr>
        <w:pStyle w:val="BodyText"/>
        <w:spacing w:before="10"/>
        <w:rPr>
          <w:rFonts w:ascii="Times New Roman"/>
          <w:sz w:val="25"/>
        </w:rPr>
      </w:pPr>
      <w:r>
        <w:rPr/>
        <w:br w:type="column"/>
      </w:r>
      <w:r>
        <w:rPr>
          <w:rFonts w:ascii="Times New Roman"/>
          <w:sz w:val="25"/>
        </w:rPr>
      </w:r>
    </w:p>
    <w:p>
      <w:pPr>
        <w:pStyle w:val="BodyText"/>
        <w:spacing w:line="249" w:lineRule="exact"/>
        <w:ind w:left="39"/>
        <w:rPr>
          <w:rFonts w:ascii="Symbol" w:hAnsi="Symbol"/>
        </w:rPr>
      </w:pPr>
      <w:r>
        <w:rPr>
          <w:rFonts w:ascii="Symbol" w:hAnsi="Symbol"/>
          <w:w w:val="100"/>
        </w:rPr>
        <w:t></w:t>
      </w:r>
    </w:p>
    <w:p>
      <w:pPr>
        <w:spacing w:line="269" w:lineRule="exact" w:before="0"/>
        <w:ind w:left="242" w:right="0" w:firstLine="0"/>
        <w:jc w:val="left"/>
        <w:rPr>
          <w:rFonts w:ascii="Times New Roman"/>
          <w:i/>
          <w:sz w:val="24"/>
        </w:rPr>
      </w:pPr>
      <w:r>
        <w:rPr>
          <w:rFonts w:ascii="Times New Roman"/>
          <w:i/>
          <w:sz w:val="24"/>
        </w:rPr>
        <w:t>k</w:t>
      </w:r>
      <w:r>
        <w:rPr>
          <w:rFonts w:ascii="Times New Roman"/>
          <w:position w:val="-5"/>
          <w:sz w:val="14"/>
        </w:rPr>
        <w:t>3</w:t>
      </w:r>
      <w:r>
        <w:rPr>
          <w:rFonts w:ascii="Times New Roman"/>
          <w:i/>
          <w:sz w:val="24"/>
        </w:rPr>
        <w:t>u</w:t>
      </w:r>
    </w:p>
    <w:p>
      <w:pPr>
        <w:spacing w:before="164"/>
        <w:ind w:left="9" w:right="0" w:firstLine="0"/>
        <w:jc w:val="left"/>
        <w:rPr>
          <w:rFonts w:ascii="Times New Roman"/>
          <w:sz w:val="24"/>
        </w:rPr>
      </w:pPr>
      <w:r>
        <w:rPr/>
        <w:br w:type="column"/>
      </w:r>
      <w:r>
        <w:rPr>
          <w:rFonts w:ascii="Times New Roman"/>
          <w:sz w:val="24"/>
        </w:rPr>
        <w:t>1</w:t>
      </w:r>
    </w:p>
    <w:p>
      <w:pPr>
        <w:spacing w:before="42"/>
        <w:ind w:left="-31" w:right="0" w:firstLine="0"/>
        <w:jc w:val="left"/>
        <w:rPr>
          <w:rFonts w:ascii="Times New Roman" w:hAnsi="Times New Roman"/>
          <w:sz w:val="14"/>
        </w:rPr>
      </w:pPr>
      <w:r>
        <w:rPr/>
        <w:pict>
          <v:line style="position:absolute;mso-position-horizontal-relative:page;mso-position-vertical-relative:paragraph;z-index:-197512" from="325.279114pt,1.871797pt" to="369.485381pt,1.871797pt" stroked="true" strokeweight=".483291pt" strokecolor="#000000">
            <v:stroke dashstyle="solid"/>
            <w10:wrap type="none"/>
          </v:line>
        </w:pic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4</w:t>
      </w:r>
    </w:p>
    <w:p>
      <w:pPr>
        <w:spacing w:after="0"/>
        <w:jc w:val="left"/>
        <w:rPr>
          <w:rFonts w:ascii="Times New Roman" w:hAnsi="Times New Roman"/>
          <w:sz w:val="14"/>
        </w:rPr>
        <w:sectPr>
          <w:type w:val="continuous"/>
          <w:pgSz w:w="11910" w:h="16850"/>
          <w:pgMar w:top="1600" w:bottom="280" w:left="1580" w:right="1580"/>
          <w:cols w:num="4" w:equalWidth="0">
            <w:col w:w="4199" w:space="40"/>
            <w:col w:w="421" w:space="40"/>
            <w:col w:w="559" w:space="40"/>
            <w:col w:w="3451"/>
          </w:cols>
        </w:sectPr>
      </w:pPr>
    </w:p>
    <w:p>
      <w:pPr>
        <w:pStyle w:val="BodyText"/>
        <w:rPr>
          <w:rFonts w:ascii="Times New Roman"/>
        </w:rPr>
      </w:pPr>
    </w:p>
    <w:p>
      <w:pPr>
        <w:pStyle w:val="BodyText"/>
        <w:spacing w:before="2"/>
        <w:rPr>
          <w:rFonts w:ascii="Times New Roman"/>
          <w:sz w:val="25"/>
        </w:rPr>
      </w:pPr>
    </w:p>
    <w:p>
      <w:pPr>
        <w:pStyle w:val="BodyText"/>
        <w:spacing w:before="1"/>
        <w:ind w:left="698"/>
      </w:pPr>
      <w:r>
        <w:rPr/>
        <w:t>式中：</w:t>
      </w:r>
    </w:p>
    <w:p>
      <w:pPr>
        <w:spacing w:before="123"/>
        <w:ind w:left="698" w:right="0" w:firstLine="0"/>
        <w:jc w:val="left"/>
        <w:rPr>
          <w:rFonts w:ascii="Times New Roman" w:hAnsi="Times New Roman"/>
          <w:sz w:val="24"/>
        </w:rPr>
      </w:pPr>
      <w:r>
        <w:rPr/>
        <w:br w:type="column"/>
      </w:r>
      <w:r>
        <w:rPr>
          <w:rFonts w:ascii="Times New Roman" w:hAnsi="Times New Roman"/>
          <w:i/>
          <w:spacing w:val="3"/>
          <w:w w:val="105"/>
          <w:sz w:val="24"/>
        </w:rPr>
        <w:t>u</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spacing w:val="-3"/>
          <w:w w:val="105"/>
          <w:sz w:val="24"/>
        </w:rPr>
        <w:t>vol</w:t>
      </w:r>
      <w:r>
        <w:rPr>
          <w:rFonts w:ascii="Times New Roman" w:hAnsi="Times New Roman"/>
          <w:spacing w:val="-3"/>
          <w:w w:val="105"/>
          <w:sz w:val="24"/>
        </w:rPr>
        <w:t>(</w:t>
      </w:r>
      <w:r>
        <w:rPr>
          <w:rFonts w:ascii="Symbol" w:hAnsi="Symbol"/>
          <w:i/>
          <w:spacing w:val="-3"/>
          <w:w w:val="105"/>
          <w:sz w:val="25"/>
        </w:rPr>
        <w:t></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w w:val="105"/>
          <w:sz w:val="24"/>
        </w:rPr>
        <w:t>m</w:t>
      </w:r>
      <w:r>
        <w:rPr>
          <w:rFonts w:ascii="Times New Roman" w:hAnsi="Times New Roman"/>
          <w:w w:val="105"/>
          <w:position w:val="-5"/>
          <w:sz w:val="14"/>
        </w:rPr>
        <w:t>2 </w:t>
      </w:r>
      <w:r>
        <w:rPr>
          <w:rFonts w:ascii="Times New Roman" w:hAnsi="Times New Roman"/>
          <w:spacing w:val="-12"/>
          <w:w w:val="105"/>
          <w:sz w:val="24"/>
        </w:rPr>
        <w:t>(1 </w:t>
      </w:r>
      <w:r>
        <w:rPr>
          <w:rFonts w:ascii="Symbol" w:hAnsi="Symbol"/>
          <w:spacing w:val="7"/>
          <w:w w:val="105"/>
          <w:sz w:val="24"/>
        </w:rPr>
        <w:t></w:t>
      </w:r>
      <w:r>
        <w:rPr>
          <w:rFonts w:ascii="Symbol" w:hAnsi="Symbol"/>
          <w:i/>
          <w:spacing w:val="7"/>
          <w:w w:val="105"/>
          <w:sz w:val="25"/>
        </w:rPr>
        <w:t></w:t>
      </w:r>
      <w:r>
        <w:rPr>
          <w:rFonts w:ascii="Times New Roman" w:hAnsi="Times New Roman"/>
          <w:i/>
          <w:spacing w:val="7"/>
          <w:w w:val="105"/>
          <w:position w:val="-5"/>
          <w:sz w:val="14"/>
        </w:rPr>
        <w:t>i </w:t>
      </w:r>
      <w:r>
        <w:rPr>
          <w:rFonts w:ascii="Times New Roman" w:hAnsi="Times New Roman"/>
          <w:spacing w:val="7"/>
          <w:w w:val="105"/>
          <w:sz w:val="24"/>
        </w:rPr>
        <w:t>))</w:t>
      </w:r>
    </w:p>
    <w:p>
      <w:pPr>
        <w:spacing w:after="0"/>
        <w:jc w:val="left"/>
        <w:rPr>
          <w:rFonts w:ascii="Times New Roman" w:hAnsi="Times New Roman"/>
          <w:sz w:val="24"/>
        </w:rPr>
        <w:sectPr>
          <w:type w:val="continuous"/>
          <w:pgSz w:w="11910" w:h="16850"/>
          <w:pgMar w:top="1600" w:bottom="280" w:left="1580" w:right="1580"/>
          <w:cols w:num="2" w:equalWidth="0">
            <w:col w:w="1419" w:space="1327"/>
            <w:col w:w="6004"/>
          </w:cols>
        </w:sectPr>
      </w:pPr>
    </w:p>
    <w:p>
      <w:pPr>
        <w:pStyle w:val="BodyText"/>
        <w:spacing w:line="338" w:lineRule="auto" w:before="175"/>
        <w:ind w:left="218" w:right="112" w:firstLine="514"/>
      </w:pPr>
      <w:r>
        <w:rPr>
          <w:rFonts w:ascii="Times New Roman" w:hAnsi="Times New Roman" w:eastAsia="Times New Roman"/>
          <w:i/>
          <w:position w:val="12"/>
        </w:rPr>
        <w:t>v</w:t>
      </w:r>
      <w:r>
        <w:rPr>
          <w:rFonts w:ascii="Times New Roman" w:hAnsi="Times New Roman" w:eastAsia="Times New Roman"/>
          <w:i/>
          <w:position w:val="6"/>
          <w:sz w:val="14"/>
        </w:rPr>
        <w:t>i </w:t>
      </w:r>
      <w:r>
        <w:rPr>
          <w:rFonts w:ascii="Times New Roman" w:hAnsi="Times New Roman" w:eastAsia="Times New Roman"/>
        </w:rPr>
        <w:t>——</w:t>
      </w:r>
      <w:r>
        <w:rPr>
          <w:spacing w:val="-11"/>
        </w:rPr>
        <w:t>第 </w:t>
      </w:r>
      <w:r>
        <w:rPr>
          <w:rFonts w:ascii="Times New Roman" w:hAnsi="Times New Roman" w:eastAsia="Times New Roman"/>
        </w:rPr>
        <w:t>i</w:t>
      </w:r>
      <w:r>
        <w:rPr>
          <w:rFonts w:ascii="Times New Roman" w:hAnsi="Times New Roman" w:eastAsia="Times New Roman"/>
          <w:spacing w:val="59"/>
        </w:rPr>
        <w:t> </w:t>
      </w:r>
      <w:r>
        <w:rPr>
          <w:spacing w:val="-1"/>
        </w:rPr>
        <w:t>种车型车辆的预测车速，</w:t>
      </w:r>
      <w:r>
        <w:rPr>
          <w:rFonts w:ascii="Times New Roman" w:hAnsi="Times New Roman" w:eastAsia="Times New Roman"/>
        </w:rPr>
        <w:t>km/h</w:t>
      </w:r>
      <w:r>
        <w:rPr>
          <w:spacing w:val="-3"/>
        </w:rPr>
        <w:t>；当设计车速小于 </w:t>
      </w:r>
      <w:r>
        <w:rPr>
          <w:rFonts w:ascii="Times New Roman" w:hAnsi="Times New Roman" w:eastAsia="Times New Roman"/>
        </w:rPr>
        <w:t>120km/h</w:t>
      </w:r>
      <w:r>
        <w:rPr>
          <w:rFonts w:ascii="Times New Roman" w:hAnsi="Times New Roman" w:eastAsia="Times New Roman"/>
          <w:spacing w:val="57"/>
        </w:rPr>
        <w:t> </w:t>
      </w:r>
      <w:r>
        <w:rPr/>
        <w:t>时， 该型车预测车速按比例降低；</w:t>
      </w:r>
    </w:p>
    <w:p>
      <w:pPr>
        <w:pStyle w:val="BodyText"/>
        <w:spacing w:before="53"/>
        <w:ind w:left="698"/>
      </w:pPr>
      <w:r>
        <w:rPr>
          <w:rFonts w:ascii="Times New Roman" w:hAnsi="Times New Roman" w:eastAsia="Times New Roman"/>
        </w:rPr>
        <w:t>ui—</w:t>
      </w:r>
      <w:r>
        <w:rPr/>
        <w:t>该车型的当量车数；</w:t>
      </w:r>
    </w:p>
    <w:p>
      <w:pPr>
        <w:pStyle w:val="BodyText"/>
        <w:spacing w:before="135"/>
        <w:ind w:left="698"/>
      </w:pPr>
      <w:r>
        <w:rPr>
          <w:rFonts w:ascii="Times New Roman" w:hAnsi="Times New Roman" w:eastAsia="Times New Roman"/>
        </w:rPr>
        <w:t>ηi—</w:t>
      </w:r>
      <w:r>
        <w:rPr/>
        <w:t>该车型的车型比；</w:t>
      </w:r>
    </w:p>
    <w:p>
      <w:pPr>
        <w:pStyle w:val="BodyText"/>
        <w:spacing w:before="135"/>
        <w:ind w:left="698"/>
      </w:pPr>
      <w:r>
        <w:rPr>
          <w:rFonts w:ascii="Times New Roman" w:hAnsi="Times New Roman" w:eastAsia="Times New Roman"/>
        </w:rPr>
        <w:t>vol —</w:t>
      </w:r>
      <w:r>
        <w:rPr/>
        <w:t>单车道车流量，辆</w:t>
      </w:r>
      <w:r>
        <w:rPr>
          <w:rFonts w:ascii="Times New Roman" w:hAnsi="Times New Roman" w:eastAsia="Times New Roman"/>
        </w:rPr>
        <w:t>/h</w:t>
      </w:r>
      <w:r>
        <w:rPr/>
        <w:t>；</w:t>
      </w:r>
    </w:p>
    <w:p>
      <w:pPr>
        <w:pStyle w:val="BodyText"/>
        <w:spacing w:before="133"/>
        <w:ind w:left="698"/>
      </w:pPr>
      <w:r>
        <w:rPr>
          <w:rFonts w:ascii="Times New Roman" w:hAnsi="Times New Roman" w:eastAsia="Times New Roman"/>
        </w:rPr>
        <w:t>mi—</w:t>
      </w:r>
      <w:r>
        <w:rPr/>
        <w:t>其他 </w:t>
      </w:r>
      <w:r>
        <w:rPr>
          <w:rFonts w:ascii="Times New Roman" w:hAnsi="Times New Roman" w:eastAsia="Times New Roman"/>
        </w:rPr>
        <w:t>2 </w:t>
      </w:r>
      <w:r>
        <w:rPr/>
        <w:t>种车型的加权系数。</w:t>
      </w:r>
    </w:p>
    <w:p>
      <w:pPr>
        <w:pStyle w:val="BodyText"/>
        <w:spacing w:before="135"/>
        <w:ind w:left="698"/>
      </w:pPr>
      <w:r>
        <w:rPr>
          <w:rFonts w:ascii="Times New Roman" w:eastAsia="Times New Roman"/>
        </w:rPr>
        <w:t>k1</w:t>
      </w:r>
      <w:r>
        <w:rPr/>
        <w:t>、</w:t>
      </w:r>
      <w:r>
        <w:rPr>
          <w:rFonts w:ascii="Times New Roman" w:eastAsia="Times New Roman"/>
        </w:rPr>
        <w:t>k2</w:t>
      </w:r>
      <w:r>
        <w:rPr/>
        <w:t>、</w:t>
      </w:r>
      <w:r>
        <w:rPr>
          <w:rFonts w:ascii="Times New Roman" w:eastAsia="Times New Roman"/>
        </w:rPr>
        <w:t>k3</w:t>
      </w:r>
      <w:r>
        <w:rPr/>
        <w:t>、</w:t>
      </w:r>
      <w:r>
        <w:rPr>
          <w:rFonts w:ascii="Times New Roman" w:eastAsia="Times New Roman"/>
        </w:rPr>
        <w:t>k4</w:t>
      </w:r>
      <w:r>
        <w:rPr>
          <w:rFonts w:ascii="Times New Roman" w:eastAsia="Times New Roman"/>
          <w:spacing w:val="59"/>
        </w:rPr>
        <w:t> </w:t>
      </w:r>
      <w:r>
        <w:rPr>
          <w:spacing w:val="-7"/>
        </w:rPr>
        <w:t>分别为系数，如表 </w:t>
      </w:r>
      <w:r>
        <w:rPr>
          <w:rFonts w:ascii="Times New Roman" w:eastAsia="Times New Roman"/>
        </w:rPr>
        <w:t>7-1 </w:t>
      </w:r>
      <w:r>
        <w:rPr/>
        <w:t>所示。</w:t>
      </w:r>
    </w:p>
    <w:p>
      <w:pPr>
        <w:pStyle w:val="Heading3"/>
        <w:tabs>
          <w:tab w:pos="862" w:val="left" w:leader="none"/>
        </w:tabs>
        <w:spacing w:before="133"/>
        <w:ind w:left="1"/>
        <w:jc w:val="center"/>
      </w:pPr>
      <w:r>
        <w:rPr/>
        <w:pict>
          <v:shape style="position:absolute;margin-left:89.903999pt;margin-top:32.065624pt;width:416pt;height:71.8pt;mso-position-horizontal-relative:page;mso-position-vertical-relative:paragraph;z-index:2968"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22"/>
                    <w:gridCol w:w="1402"/>
                    <w:gridCol w:w="1368"/>
                    <w:gridCol w:w="1438"/>
                    <w:gridCol w:w="1390"/>
                    <w:gridCol w:w="1378"/>
                  </w:tblGrid>
                  <w:tr>
                    <w:trPr>
                      <w:trHeight w:val="355" w:hRule="exact"/>
                    </w:trPr>
                    <w:tc>
                      <w:tcPr>
                        <w:tcW w:w="1322" w:type="dxa"/>
                      </w:tcPr>
                      <w:p>
                        <w:pPr>
                          <w:pStyle w:val="TableParagraph"/>
                          <w:spacing w:before="6"/>
                          <w:ind w:left="319" w:right="317"/>
                          <w:rPr>
                            <w:sz w:val="21"/>
                          </w:rPr>
                        </w:pPr>
                        <w:r>
                          <w:rPr>
                            <w:sz w:val="21"/>
                          </w:rPr>
                          <w:t>车型</w:t>
                        </w:r>
                      </w:p>
                    </w:tc>
                    <w:tc>
                      <w:tcPr>
                        <w:tcW w:w="1402" w:type="dxa"/>
                      </w:tcPr>
                      <w:p>
                        <w:pPr>
                          <w:pStyle w:val="TableParagraph"/>
                          <w:spacing w:before="56"/>
                          <w:ind w:left="245" w:right="244"/>
                          <w:rPr>
                            <w:rFonts w:ascii="Times New Roman"/>
                            <w:i/>
                            <w:sz w:val="16"/>
                          </w:rPr>
                        </w:pPr>
                        <w:r>
                          <w:rPr>
                            <w:rFonts w:ascii="Times New Roman"/>
                            <w:i/>
                            <w:sz w:val="21"/>
                          </w:rPr>
                          <w:t>k</w:t>
                        </w:r>
                        <w:r>
                          <w:rPr>
                            <w:rFonts w:ascii="Times New Roman"/>
                            <w:i/>
                            <w:sz w:val="16"/>
                          </w:rPr>
                          <w:t>1</w:t>
                        </w:r>
                      </w:p>
                    </w:tc>
                    <w:tc>
                      <w:tcPr>
                        <w:tcW w:w="1368" w:type="dxa"/>
                      </w:tcPr>
                      <w:p>
                        <w:pPr>
                          <w:pStyle w:val="TableParagraph"/>
                          <w:spacing w:before="56"/>
                          <w:ind w:left="368" w:right="367"/>
                          <w:rPr>
                            <w:rFonts w:ascii="Times New Roman"/>
                            <w:i/>
                            <w:sz w:val="16"/>
                          </w:rPr>
                        </w:pPr>
                        <w:r>
                          <w:rPr>
                            <w:rFonts w:ascii="Times New Roman"/>
                            <w:i/>
                            <w:sz w:val="21"/>
                          </w:rPr>
                          <w:t>k</w:t>
                        </w:r>
                        <w:r>
                          <w:rPr>
                            <w:rFonts w:ascii="Times New Roman"/>
                            <w:i/>
                            <w:sz w:val="16"/>
                          </w:rPr>
                          <w:t>2</w:t>
                        </w:r>
                      </w:p>
                    </w:tc>
                    <w:tc>
                      <w:tcPr>
                        <w:tcW w:w="1438" w:type="dxa"/>
                      </w:tcPr>
                      <w:p>
                        <w:pPr>
                          <w:pStyle w:val="TableParagraph"/>
                          <w:spacing w:before="56"/>
                          <w:ind w:left="105" w:right="105"/>
                          <w:rPr>
                            <w:rFonts w:ascii="Times New Roman"/>
                            <w:i/>
                            <w:sz w:val="16"/>
                          </w:rPr>
                        </w:pPr>
                        <w:r>
                          <w:rPr>
                            <w:rFonts w:ascii="Times New Roman"/>
                            <w:i/>
                            <w:sz w:val="21"/>
                          </w:rPr>
                          <w:t>k</w:t>
                        </w:r>
                        <w:r>
                          <w:rPr>
                            <w:rFonts w:ascii="Times New Roman"/>
                            <w:i/>
                            <w:sz w:val="16"/>
                          </w:rPr>
                          <w:t>3</w:t>
                        </w:r>
                      </w:p>
                    </w:tc>
                    <w:tc>
                      <w:tcPr>
                        <w:tcW w:w="1390" w:type="dxa"/>
                      </w:tcPr>
                      <w:p>
                        <w:pPr>
                          <w:pStyle w:val="TableParagraph"/>
                          <w:spacing w:before="56"/>
                          <w:ind w:left="290" w:right="291"/>
                          <w:rPr>
                            <w:rFonts w:ascii="Times New Roman"/>
                            <w:i/>
                            <w:sz w:val="16"/>
                          </w:rPr>
                        </w:pPr>
                        <w:r>
                          <w:rPr>
                            <w:rFonts w:ascii="Times New Roman"/>
                            <w:i/>
                            <w:sz w:val="21"/>
                          </w:rPr>
                          <w:t>k</w:t>
                        </w:r>
                        <w:r>
                          <w:rPr>
                            <w:rFonts w:ascii="Times New Roman"/>
                            <w:i/>
                            <w:sz w:val="16"/>
                          </w:rPr>
                          <w:t>4</w:t>
                        </w:r>
                      </w:p>
                    </w:tc>
                    <w:tc>
                      <w:tcPr>
                        <w:tcW w:w="1378" w:type="dxa"/>
                      </w:tcPr>
                      <w:p>
                        <w:pPr>
                          <w:pStyle w:val="TableParagraph"/>
                          <w:spacing w:before="56"/>
                          <w:ind w:left="569" w:right="564"/>
                          <w:rPr>
                            <w:rFonts w:ascii="Times New Roman"/>
                            <w:i/>
                            <w:sz w:val="14"/>
                          </w:rPr>
                        </w:pPr>
                        <w:r>
                          <w:rPr>
                            <w:rFonts w:ascii="Times New Roman"/>
                            <w:i/>
                            <w:sz w:val="21"/>
                          </w:rPr>
                          <w:t>m</w:t>
                        </w:r>
                        <w:r>
                          <w:rPr>
                            <w:rFonts w:ascii="Times New Roman"/>
                            <w:i/>
                            <w:sz w:val="14"/>
                          </w:rPr>
                          <w:t>i</w:t>
                        </w:r>
                      </w:p>
                    </w:tc>
                  </w:tr>
                  <w:tr>
                    <w:trPr>
                      <w:trHeight w:val="355" w:hRule="exact"/>
                    </w:trPr>
                    <w:tc>
                      <w:tcPr>
                        <w:tcW w:w="1322" w:type="dxa"/>
                      </w:tcPr>
                      <w:p>
                        <w:pPr>
                          <w:pStyle w:val="TableParagraph"/>
                          <w:spacing w:before="6"/>
                          <w:ind w:left="319" w:right="317"/>
                          <w:rPr>
                            <w:sz w:val="21"/>
                          </w:rPr>
                        </w:pPr>
                        <w:r>
                          <w:rPr>
                            <w:sz w:val="21"/>
                          </w:rPr>
                          <w:t>小型车</w:t>
                        </w:r>
                      </w:p>
                    </w:tc>
                    <w:tc>
                      <w:tcPr>
                        <w:tcW w:w="1402" w:type="dxa"/>
                      </w:tcPr>
                      <w:p>
                        <w:pPr>
                          <w:pStyle w:val="TableParagraph"/>
                          <w:spacing w:before="56"/>
                          <w:ind w:left="245" w:right="245"/>
                          <w:rPr>
                            <w:rFonts w:ascii="Times New Roman"/>
                            <w:sz w:val="21"/>
                          </w:rPr>
                        </w:pPr>
                        <w:r>
                          <w:rPr>
                            <w:rFonts w:ascii="Times New Roman"/>
                            <w:sz w:val="21"/>
                          </w:rPr>
                          <w:t>-0.061748</w:t>
                        </w:r>
                      </w:p>
                    </w:tc>
                    <w:tc>
                      <w:tcPr>
                        <w:tcW w:w="1368" w:type="dxa"/>
                      </w:tcPr>
                      <w:p>
                        <w:pPr>
                          <w:pStyle w:val="TableParagraph"/>
                          <w:spacing w:before="56"/>
                          <w:ind w:left="368" w:right="368"/>
                          <w:rPr>
                            <w:rFonts w:ascii="Times New Roman"/>
                            <w:sz w:val="21"/>
                          </w:rPr>
                        </w:pPr>
                        <w:r>
                          <w:rPr>
                            <w:rFonts w:ascii="Times New Roman"/>
                            <w:sz w:val="21"/>
                          </w:rPr>
                          <w:t>149.65</w:t>
                        </w:r>
                      </w:p>
                    </w:tc>
                    <w:tc>
                      <w:tcPr>
                        <w:tcW w:w="1438" w:type="dxa"/>
                      </w:tcPr>
                      <w:p>
                        <w:pPr>
                          <w:pStyle w:val="TableParagraph"/>
                          <w:spacing w:before="56"/>
                          <w:ind w:left="105" w:right="105"/>
                          <w:rPr>
                            <w:rFonts w:ascii="Times New Roman"/>
                            <w:sz w:val="21"/>
                          </w:rPr>
                        </w:pPr>
                        <w:r>
                          <w:rPr>
                            <w:rFonts w:ascii="Times New Roman"/>
                            <w:sz w:val="21"/>
                          </w:rPr>
                          <w:t>-0.000023696</w:t>
                        </w:r>
                      </w:p>
                    </w:tc>
                    <w:tc>
                      <w:tcPr>
                        <w:tcW w:w="1390" w:type="dxa"/>
                      </w:tcPr>
                      <w:p>
                        <w:pPr>
                          <w:pStyle w:val="TableParagraph"/>
                          <w:spacing w:before="56"/>
                          <w:ind w:left="291" w:right="291"/>
                          <w:rPr>
                            <w:rFonts w:ascii="Times New Roman"/>
                            <w:sz w:val="21"/>
                          </w:rPr>
                        </w:pPr>
                        <w:r>
                          <w:rPr>
                            <w:rFonts w:ascii="Times New Roman"/>
                            <w:sz w:val="21"/>
                          </w:rPr>
                          <w:t>-0.02099</w:t>
                        </w:r>
                      </w:p>
                    </w:tc>
                    <w:tc>
                      <w:tcPr>
                        <w:tcW w:w="1378" w:type="dxa"/>
                      </w:tcPr>
                      <w:p>
                        <w:pPr>
                          <w:pStyle w:val="TableParagraph"/>
                          <w:spacing w:before="56"/>
                          <w:ind w:right="386"/>
                          <w:jc w:val="right"/>
                          <w:rPr>
                            <w:rFonts w:ascii="Times New Roman"/>
                            <w:sz w:val="21"/>
                          </w:rPr>
                        </w:pPr>
                        <w:r>
                          <w:rPr>
                            <w:rFonts w:ascii="Times New Roman"/>
                            <w:sz w:val="21"/>
                          </w:rPr>
                          <w:t>1.2102</w:t>
                        </w:r>
                      </w:p>
                    </w:tc>
                  </w:tr>
                  <w:tr>
                    <w:trPr>
                      <w:trHeight w:val="353" w:hRule="exact"/>
                    </w:trPr>
                    <w:tc>
                      <w:tcPr>
                        <w:tcW w:w="1322" w:type="dxa"/>
                      </w:tcPr>
                      <w:p>
                        <w:pPr>
                          <w:pStyle w:val="TableParagraph"/>
                          <w:spacing w:before="6"/>
                          <w:ind w:left="319" w:right="317"/>
                          <w:rPr>
                            <w:sz w:val="21"/>
                          </w:rPr>
                        </w:pPr>
                        <w:r>
                          <w:rPr>
                            <w:sz w:val="21"/>
                          </w:rPr>
                          <w:t>中型车</w:t>
                        </w:r>
                      </w:p>
                    </w:tc>
                    <w:tc>
                      <w:tcPr>
                        <w:tcW w:w="1402" w:type="dxa"/>
                      </w:tcPr>
                      <w:p>
                        <w:pPr>
                          <w:pStyle w:val="TableParagraph"/>
                          <w:spacing w:before="56"/>
                          <w:ind w:left="245" w:right="245"/>
                          <w:rPr>
                            <w:rFonts w:ascii="Times New Roman"/>
                            <w:sz w:val="21"/>
                          </w:rPr>
                        </w:pPr>
                        <w:r>
                          <w:rPr>
                            <w:rFonts w:ascii="Times New Roman"/>
                            <w:sz w:val="21"/>
                          </w:rPr>
                          <w:t>-0.057537</w:t>
                        </w:r>
                      </w:p>
                    </w:tc>
                    <w:tc>
                      <w:tcPr>
                        <w:tcW w:w="1368" w:type="dxa"/>
                      </w:tcPr>
                      <w:p>
                        <w:pPr>
                          <w:pStyle w:val="TableParagraph"/>
                          <w:spacing w:before="56"/>
                          <w:ind w:left="368" w:right="368"/>
                          <w:rPr>
                            <w:rFonts w:ascii="Times New Roman"/>
                            <w:sz w:val="21"/>
                          </w:rPr>
                        </w:pPr>
                        <w:r>
                          <w:rPr>
                            <w:rFonts w:ascii="Times New Roman"/>
                            <w:sz w:val="21"/>
                          </w:rPr>
                          <w:t>149.38</w:t>
                        </w:r>
                      </w:p>
                    </w:tc>
                    <w:tc>
                      <w:tcPr>
                        <w:tcW w:w="1438" w:type="dxa"/>
                      </w:tcPr>
                      <w:p>
                        <w:pPr>
                          <w:pStyle w:val="TableParagraph"/>
                          <w:spacing w:before="56"/>
                          <w:ind w:left="105" w:right="105"/>
                          <w:rPr>
                            <w:rFonts w:ascii="Times New Roman"/>
                            <w:sz w:val="21"/>
                          </w:rPr>
                        </w:pPr>
                        <w:r>
                          <w:rPr>
                            <w:rFonts w:ascii="Times New Roman"/>
                            <w:sz w:val="21"/>
                          </w:rPr>
                          <w:t>-0.000016390</w:t>
                        </w:r>
                      </w:p>
                    </w:tc>
                    <w:tc>
                      <w:tcPr>
                        <w:tcW w:w="1390" w:type="dxa"/>
                      </w:tcPr>
                      <w:p>
                        <w:pPr>
                          <w:pStyle w:val="TableParagraph"/>
                          <w:spacing w:before="56"/>
                          <w:ind w:left="291" w:right="291"/>
                          <w:rPr>
                            <w:rFonts w:ascii="Times New Roman"/>
                            <w:sz w:val="21"/>
                          </w:rPr>
                        </w:pPr>
                        <w:r>
                          <w:rPr>
                            <w:rFonts w:ascii="Times New Roman"/>
                            <w:sz w:val="21"/>
                          </w:rPr>
                          <w:t>-0.01245</w:t>
                        </w:r>
                      </w:p>
                    </w:tc>
                    <w:tc>
                      <w:tcPr>
                        <w:tcW w:w="1378" w:type="dxa"/>
                      </w:tcPr>
                      <w:p>
                        <w:pPr>
                          <w:pStyle w:val="TableParagraph"/>
                          <w:spacing w:before="56"/>
                          <w:ind w:right="386"/>
                          <w:jc w:val="right"/>
                          <w:rPr>
                            <w:rFonts w:ascii="Times New Roman"/>
                            <w:sz w:val="21"/>
                          </w:rPr>
                        </w:pPr>
                        <w:r>
                          <w:rPr>
                            <w:rFonts w:ascii="Times New Roman"/>
                            <w:sz w:val="21"/>
                          </w:rPr>
                          <w:t>0.8044</w:t>
                        </w:r>
                      </w:p>
                    </w:tc>
                  </w:tr>
                  <w:tr>
                    <w:trPr>
                      <w:trHeight w:val="358" w:hRule="exact"/>
                    </w:trPr>
                    <w:tc>
                      <w:tcPr>
                        <w:tcW w:w="1322" w:type="dxa"/>
                      </w:tcPr>
                      <w:p>
                        <w:pPr>
                          <w:pStyle w:val="TableParagraph"/>
                          <w:spacing w:before="9"/>
                          <w:ind w:left="319" w:right="317"/>
                          <w:rPr>
                            <w:sz w:val="21"/>
                          </w:rPr>
                        </w:pPr>
                        <w:r>
                          <w:rPr>
                            <w:sz w:val="21"/>
                          </w:rPr>
                          <w:t>大型车</w:t>
                        </w:r>
                      </w:p>
                    </w:tc>
                    <w:tc>
                      <w:tcPr>
                        <w:tcW w:w="1402" w:type="dxa"/>
                      </w:tcPr>
                      <w:p>
                        <w:pPr>
                          <w:pStyle w:val="TableParagraph"/>
                          <w:spacing w:before="58"/>
                          <w:ind w:left="245" w:right="245"/>
                          <w:rPr>
                            <w:rFonts w:ascii="Times New Roman"/>
                            <w:sz w:val="21"/>
                          </w:rPr>
                        </w:pPr>
                        <w:r>
                          <w:rPr>
                            <w:rFonts w:ascii="Times New Roman"/>
                            <w:sz w:val="21"/>
                          </w:rPr>
                          <w:t>-0.051900</w:t>
                        </w:r>
                      </w:p>
                    </w:tc>
                    <w:tc>
                      <w:tcPr>
                        <w:tcW w:w="1368" w:type="dxa"/>
                      </w:tcPr>
                      <w:p>
                        <w:pPr>
                          <w:pStyle w:val="TableParagraph"/>
                          <w:spacing w:before="58"/>
                          <w:ind w:left="368" w:right="368"/>
                          <w:rPr>
                            <w:rFonts w:ascii="Times New Roman"/>
                            <w:sz w:val="21"/>
                          </w:rPr>
                        </w:pPr>
                        <w:r>
                          <w:rPr>
                            <w:rFonts w:ascii="Times New Roman"/>
                            <w:sz w:val="21"/>
                          </w:rPr>
                          <w:t>149.39</w:t>
                        </w:r>
                      </w:p>
                    </w:tc>
                    <w:tc>
                      <w:tcPr>
                        <w:tcW w:w="1438" w:type="dxa"/>
                      </w:tcPr>
                      <w:p>
                        <w:pPr>
                          <w:pStyle w:val="TableParagraph"/>
                          <w:spacing w:before="58"/>
                          <w:ind w:left="105" w:right="105"/>
                          <w:rPr>
                            <w:rFonts w:ascii="Times New Roman"/>
                            <w:sz w:val="21"/>
                          </w:rPr>
                        </w:pPr>
                        <w:r>
                          <w:rPr>
                            <w:rFonts w:ascii="Times New Roman"/>
                            <w:sz w:val="21"/>
                          </w:rPr>
                          <w:t>-0.000014202</w:t>
                        </w:r>
                      </w:p>
                    </w:tc>
                    <w:tc>
                      <w:tcPr>
                        <w:tcW w:w="1390" w:type="dxa"/>
                      </w:tcPr>
                      <w:p>
                        <w:pPr>
                          <w:pStyle w:val="TableParagraph"/>
                          <w:spacing w:before="58"/>
                          <w:ind w:left="291" w:right="291"/>
                          <w:rPr>
                            <w:rFonts w:ascii="Times New Roman"/>
                            <w:sz w:val="21"/>
                          </w:rPr>
                        </w:pPr>
                        <w:r>
                          <w:rPr>
                            <w:rFonts w:ascii="Times New Roman"/>
                            <w:sz w:val="21"/>
                          </w:rPr>
                          <w:t>-0.01254</w:t>
                        </w:r>
                      </w:p>
                    </w:tc>
                    <w:tc>
                      <w:tcPr>
                        <w:tcW w:w="1378" w:type="dxa"/>
                      </w:tcPr>
                      <w:p>
                        <w:pPr>
                          <w:pStyle w:val="TableParagraph"/>
                          <w:spacing w:before="58"/>
                          <w:ind w:right="336"/>
                          <w:jc w:val="right"/>
                          <w:rPr>
                            <w:rFonts w:ascii="Times New Roman"/>
                            <w:sz w:val="21"/>
                          </w:rPr>
                        </w:pPr>
                        <w:r>
                          <w:rPr>
                            <w:rFonts w:ascii="Times New Roman"/>
                            <w:sz w:val="21"/>
                          </w:rPr>
                          <w:t>0.70957</w:t>
                        </w:r>
                      </w:p>
                    </w:tc>
                  </w:tr>
                </w:tbl>
                <w:p>
                  <w:pPr>
                    <w:pStyle w:val="BodyText"/>
                  </w:pPr>
                </w:p>
              </w:txbxContent>
            </v:textbox>
            <w10:wrap type="none"/>
          </v:shape>
        </w:pict>
      </w:r>
      <w:r>
        <w:rPr/>
        <w:t>表</w:t>
      </w:r>
      <w:r>
        <w:rPr>
          <w:spacing w:val="-60"/>
        </w:rPr>
        <w:t> </w:t>
      </w:r>
      <w:r>
        <w:rPr>
          <w:rFonts w:ascii="Times New Roman" w:eastAsia="Times New Roman"/>
        </w:rPr>
        <w:t>7-1</w:t>
        <w:tab/>
      </w:r>
      <w:r>
        <w:rPr/>
        <w:t>车速计算公式系数</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210"/>
        <w:ind w:left="698"/>
      </w:pPr>
      <w:r>
        <w:rPr/>
        <w:t>（</w:t>
      </w:r>
      <w:r>
        <w:rPr>
          <w:rFonts w:ascii="Times New Roman" w:eastAsia="Times New Roman"/>
        </w:rPr>
        <w:t>2</w:t>
      </w:r>
      <w:r>
        <w:rPr/>
        <w:t>）车型分类</w:t>
      </w:r>
    </w:p>
    <w:p>
      <w:pPr>
        <w:pStyle w:val="BodyText"/>
        <w:spacing w:before="133"/>
        <w:ind w:left="818"/>
      </w:pPr>
      <w:r>
        <w:rPr/>
        <w:t>车型分类（大、中、小型车</w:t>
      </w:r>
      <w:r>
        <w:rPr>
          <w:spacing w:val="-120"/>
        </w:rPr>
        <w:t>）</w:t>
      </w:r>
      <w:r>
        <w:rPr/>
        <w:t>，方法见下表。</w:t>
      </w:r>
    </w:p>
    <w:p>
      <w:pPr>
        <w:pStyle w:val="Heading3"/>
        <w:tabs>
          <w:tab w:pos="985" w:val="left" w:leader="none"/>
        </w:tabs>
        <w:spacing w:before="153"/>
        <w:ind w:left="3"/>
        <w:jc w:val="center"/>
      </w:pPr>
      <w:r>
        <w:rPr/>
        <w:t>表</w:t>
      </w:r>
      <w:r>
        <w:rPr>
          <w:spacing w:val="-60"/>
        </w:rPr>
        <w:t> </w:t>
      </w:r>
      <w:r>
        <w:rPr>
          <w:rFonts w:ascii="Times New Roman" w:eastAsia="Times New Roman"/>
        </w:rPr>
        <w:t>7-2</w:t>
        <w:tab/>
      </w:r>
      <w:r>
        <w:rPr/>
        <w:t>车型分类标准</w:t>
      </w:r>
    </w:p>
    <w:p>
      <w:pPr>
        <w:pStyle w:val="BodyText"/>
        <w:spacing w:before="3"/>
        <w:rPr>
          <w:b/>
          <w:sz w:val="13"/>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807"/>
        <w:gridCol w:w="4491"/>
      </w:tblGrid>
      <w:tr>
        <w:trPr>
          <w:trHeight w:val="356" w:hRule="exact"/>
        </w:trPr>
        <w:tc>
          <w:tcPr>
            <w:tcW w:w="3807" w:type="dxa"/>
          </w:tcPr>
          <w:p>
            <w:pPr>
              <w:pStyle w:val="TableParagraph"/>
              <w:spacing w:before="9"/>
              <w:ind w:left="1666" w:right="1666"/>
              <w:rPr>
                <w:sz w:val="21"/>
              </w:rPr>
            </w:pPr>
            <w:r>
              <w:rPr>
                <w:sz w:val="21"/>
              </w:rPr>
              <w:t>车型</w:t>
            </w:r>
          </w:p>
        </w:tc>
        <w:tc>
          <w:tcPr>
            <w:tcW w:w="4491" w:type="dxa"/>
          </w:tcPr>
          <w:p>
            <w:pPr>
              <w:pStyle w:val="TableParagraph"/>
              <w:spacing w:before="9"/>
              <w:ind w:left="1030" w:right="1026"/>
              <w:rPr>
                <w:sz w:val="21"/>
              </w:rPr>
            </w:pPr>
            <w:r>
              <w:rPr>
                <w:sz w:val="21"/>
              </w:rPr>
              <w:t>总质量（</w:t>
            </w:r>
            <w:r>
              <w:rPr>
                <w:rFonts w:ascii="Times New Roman" w:eastAsia="Times New Roman"/>
                <w:sz w:val="21"/>
              </w:rPr>
              <w:t>GVM</w:t>
            </w:r>
            <w:r>
              <w:rPr>
                <w:sz w:val="21"/>
              </w:rPr>
              <w:t>）</w:t>
            </w:r>
          </w:p>
        </w:tc>
      </w:tr>
      <w:tr>
        <w:trPr>
          <w:trHeight w:val="355" w:hRule="exact"/>
        </w:trPr>
        <w:tc>
          <w:tcPr>
            <w:tcW w:w="3807" w:type="dxa"/>
          </w:tcPr>
          <w:p>
            <w:pPr>
              <w:pStyle w:val="TableParagraph"/>
              <w:spacing w:before="9"/>
              <w:ind w:right="3"/>
              <w:rPr>
                <w:sz w:val="21"/>
              </w:rPr>
            </w:pPr>
            <w:r>
              <w:rPr>
                <w:w w:val="100"/>
                <w:sz w:val="21"/>
              </w:rPr>
              <w:t>小</w:t>
            </w:r>
          </w:p>
        </w:tc>
        <w:tc>
          <w:tcPr>
            <w:tcW w:w="4491" w:type="dxa"/>
          </w:tcPr>
          <w:p>
            <w:pPr>
              <w:pStyle w:val="TableParagraph"/>
              <w:spacing w:before="9"/>
              <w:ind w:left="1030" w:right="1027"/>
              <w:rPr>
                <w:rFonts w:ascii="Times New Roman" w:hAnsi="Times New Roman" w:eastAsia="Times New Roman"/>
                <w:sz w:val="21"/>
              </w:rPr>
            </w:pPr>
            <w:r>
              <w:rPr>
                <w:rFonts w:ascii="Times New Roman" w:hAnsi="Times New Roman" w:eastAsia="Times New Roman"/>
                <w:sz w:val="21"/>
              </w:rPr>
              <w:t>≤3.5t </w:t>
            </w:r>
            <w:r>
              <w:rPr>
                <w:sz w:val="21"/>
              </w:rPr>
              <w:t>以下，</w:t>
            </w:r>
            <w:r>
              <w:rPr>
                <w:rFonts w:ascii="Times New Roman" w:hAnsi="Times New Roman" w:eastAsia="Times New Roman"/>
                <w:sz w:val="21"/>
              </w:rPr>
              <w:t>M1</w:t>
            </w:r>
            <w:r>
              <w:rPr>
                <w:sz w:val="21"/>
              </w:rPr>
              <w:t>，</w:t>
            </w:r>
            <w:r>
              <w:rPr>
                <w:rFonts w:ascii="Times New Roman" w:hAnsi="Times New Roman" w:eastAsia="Times New Roman"/>
                <w:sz w:val="21"/>
              </w:rPr>
              <w:t>M2</w:t>
            </w:r>
            <w:r>
              <w:rPr>
                <w:sz w:val="21"/>
              </w:rPr>
              <w:t>，</w:t>
            </w:r>
            <w:r>
              <w:rPr>
                <w:rFonts w:ascii="Times New Roman" w:hAnsi="Times New Roman" w:eastAsia="Times New Roman"/>
                <w:sz w:val="21"/>
              </w:rPr>
              <w:t>N1</w:t>
            </w:r>
          </w:p>
        </w:tc>
      </w:tr>
      <w:tr>
        <w:trPr>
          <w:trHeight w:val="355" w:hRule="exact"/>
        </w:trPr>
        <w:tc>
          <w:tcPr>
            <w:tcW w:w="3807" w:type="dxa"/>
          </w:tcPr>
          <w:p>
            <w:pPr>
              <w:pStyle w:val="TableParagraph"/>
              <w:spacing w:before="9"/>
              <w:ind w:right="3"/>
              <w:rPr>
                <w:sz w:val="21"/>
              </w:rPr>
            </w:pPr>
            <w:r>
              <w:rPr>
                <w:w w:val="100"/>
                <w:sz w:val="21"/>
              </w:rPr>
              <w:t>中</w:t>
            </w:r>
          </w:p>
        </w:tc>
        <w:tc>
          <w:tcPr>
            <w:tcW w:w="4491" w:type="dxa"/>
          </w:tcPr>
          <w:p>
            <w:pPr>
              <w:pStyle w:val="TableParagraph"/>
              <w:spacing w:before="9"/>
              <w:ind w:left="1027" w:right="1027"/>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 </w:t>
            </w:r>
            <w:r>
              <w:rPr>
                <w:rFonts w:ascii="Times New Roman" w:eastAsia="Times New Roman"/>
                <w:sz w:val="21"/>
              </w:rPr>
              <w:t>N2</w:t>
            </w:r>
          </w:p>
        </w:tc>
      </w:tr>
      <w:tr>
        <w:trPr>
          <w:trHeight w:val="355" w:hRule="exact"/>
        </w:trPr>
        <w:tc>
          <w:tcPr>
            <w:tcW w:w="3807" w:type="dxa"/>
          </w:tcPr>
          <w:p>
            <w:pPr>
              <w:pStyle w:val="TableParagraph"/>
              <w:spacing w:before="9"/>
              <w:ind w:right="3"/>
              <w:rPr>
                <w:sz w:val="21"/>
              </w:rPr>
            </w:pPr>
            <w:r>
              <w:rPr>
                <w:w w:val="100"/>
                <w:sz w:val="21"/>
              </w:rPr>
              <w:t>大</w:t>
            </w:r>
          </w:p>
        </w:tc>
        <w:tc>
          <w:tcPr>
            <w:tcW w:w="4491" w:type="dxa"/>
          </w:tcPr>
          <w:p>
            <w:pPr>
              <w:pStyle w:val="TableParagraph"/>
              <w:spacing w:before="9"/>
              <w:ind w:left="1030" w:right="1025"/>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pPr>
        <w:spacing w:line="270" w:lineRule="exact" w:before="0"/>
        <w:ind w:left="218" w:right="252" w:firstLine="211"/>
        <w:jc w:val="left"/>
        <w:rPr>
          <w:sz w:val="21"/>
        </w:rPr>
      </w:pPr>
      <w:r>
        <w:rPr>
          <w:spacing w:val="-3"/>
          <w:sz w:val="21"/>
        </w:rPr>
        <w:t>注：</w:t>
      </w:r>
      <w:r>
        <w:rPr>
          <w:rFonts w:ascii="Times New Roman" w:eastAsia="Times New Roman"/>
          <w:spacing w:val="-5"/>
          <w:sz w:val="21"/>
        </w:rPr>
        <w:t>M1</w:t>
      </w:r>
      <w:r>
        <w:rPr>
          <w:spacing w:val="-5"/>
          <w:sz w:val="21"/>
        </w:rPr>
        <w:t>，</w:t>
      </w:r>
      <w:r>
        <w:rPr>
          <w:rFonts w:ascii="Times New Roman" w:eastAsia="Times New Roman"/>
          <w:spacing w:val="-5"/>
          <w:sz w:val="21"/>
        </w:rPr>
        <w:t>M2</w:t>
      </w:r>
      <w:r>
        <w:rPr>
          <w:spacing w:val="-5"/>
          <w:sz w:val="21"/>
        </w:rPr>
        <w:t>，</w:t>
      </w:r>
      <w:r>
        <w:rPr>
          <w:rFonts w:ascii="Times New Roman" w:eastAsia="Times New Roman"/>
          <w:spacing w:val="-5"/>
          <w:sz w:val="21"/>
        </w:rPr>
        <w:t>M3</w:t>
      </w:r>
      <w:r>
        <w:rPr>
          <w:spacing w:val="-5"/>
          <w:sz w:val="21"/>
        </w:rPr>
        <w:t>，</w:t>
      </w:r>
      <w:r>
        <w:rPr>
          <w:rFonts w:ascii="Times New Roman" w:eastAsia="Times New Roman"/>
          <w:spacing w:val="-5"/>
          <w:sz w:val="21"/>
        </w:rPr>
        <w:t>N1</w:t>
      </w:r>
      <w:r>
        <w:rPr>
          <w:spacing w:val="-5"/>
          <w:sz w:val="21"/>
        </w:rPr>
        <w:t>，</w:t>
      </w:r>
      <w:r>
        <w:rPr>
          <w:rFonts w:ascii="Times New Roman" w:eastAsia="Times New Roman"/>
          <w:spacing w:val="-5"/>
          <w:sz w:val="21"/>
        </w:rPr>
        <w:t>N2</w:t>
      </w:r>
      <w:r>
        <w:rPr>
          <w:spacing w:val="-5"/>
          <w:sz w:val="21"/>
        </w:rPr>
        <w:t>，</w:t>
      </w:r>
      <w:r>
        <w:rPr>
          <w:rFonts w:ascii="Times New Roman" w:eastAsia="Times New Roman"/>
          <w:spacing w:val="-5"/>
          <w:sz w:val="21"/>
        </w:rPr>
        <w:t>N3 </w:t>
      </w:r>
      <w:r>
        <w:rPr>
          <w:spacing w:val="-20"/>
          <w:sz w:val="21"/>
        </w:rPr>
        <w:t>和 </w:t>
      </w:r>
      <w:r>
        <w:rPr>
          <w:rFonts w:ascii="Times New Roman" w:eastAsia="Times New Roman"/>
          <w:sz w:val="21"/>
        </w:rPr>
        <w:t>GB1495 </w:t>
      </w:r>
      <w:r>
        <w:rPr>
          <w:spacing w:val="-5"/>
          <w:sz w:val="21"/>
        </w:rPr>
        <w:t>划定方法相一致。摩托车、拖拉机等应另外归类。</w:t>
      </w:r>
    </w:p>
    <w:p>
      <w:pPr>
        <w:pStyle w:val="BodyText"/>
        <w:spacing w:line="297" w:lineRule="exact"/>
        <w:ind w:left="698"/>
      </w:pPr>
      <w:r>
        <w:rPr/>
        <w:t>（</w:t>
      </w:r>
      <w:r>
        <w:rPr>
          <w:rFonts w:ascii="Times New Roman" w:eastAsia="Times New Roman"/>
        </w:rPr>
        <w:t>3</w:t>
      </w:r>
      <w:r>
        <w:rPr/>
        <w:t>）交通噪声预测模式</w:t>
      </w:r>
    </w:p>
    <w:p>
      <w:pPr>
        <w:pStyle w:val="BodyText"/>
        <w:spacing w:before="135"/>
        <w:ind w:left="698"/>
      </w:pPr>
      <w:r>
        <w:rPr>
          <w:rFonts w:ascii="Times New Roman" w:eastAsia="Times New Roman"/>
        </w:rPr>
        <w:t>a</w:t>
      </w:r>
      <w:r>
        <w:rPr>
          <w:rFonts w:ascii="Times New Roman" w:eastAsia="Times New Roman"/>
          <w:spacing w:val="29"/>
        </w:rPr>
        <w:t>) </w:t>
      </w:r>
      <w:r>
        <w:rPr>
          <w:spacing w:val="-29"/>
        </w:rPr>
        <w:t>第 </w:t>
      </w:r>
      <w:r>
        <w:rPr>
          <w:rFonts w:ascii="Times New Roman" w:eastAsia="Times New Roman"/>
        </w:rPr>
        <w:t>I </w:t>
      </w:r>
      <w:r>
        <w:rPr/>
        <w:t>类车等效声级的预测模式</w:t>
      </w:r>
    </w:p>
    <w:p>
      <w:pPr>
        <w:spacing w:after="0"/>
        <w:sectPr>
          <w:type w:val="continuous"/>
          <w:pgSz w:w="11910" w:h="16850"/>
          <w:pgMar w:top="1600" w:bottom="280" w:left="1580" w:right="1580"/>
        </w:sectPr>
      </w:pPr>
    </w:p>
    <w:p>
      <w:pPr>
        <w:pStyle w:val="BodyText"/>
        <w:spacing w:before="9"/>
        <w:rPr>
          <w:sz w:val="19"/>
        </w:rPr>
      </w:pPr>
    </w:p>
    <w:p>
      <w:pPr>
        <w:tabs>
          <w:tab w:pos="1194" w:val="left" w:leader="none"/>
        </w:tabs>
        <w:spacing w:line="148" w:lineRule="exact" w:before="0"/>
        <w:ind w:left="695" w:right="0" w:firstLine="0"/>
        <w:jc w:val="left"/>
        <w:rPr>
          <w:rFonts w:ascii="Times New Roman"/>
          <w:sz w:val="26"/>
        </w:rPr>
      </w:pPr>
      <w:r>
        <w:rPr>
          <w:rFonts w:ascii="Times New Roman"/>
          <w:i/>
          <w:w w:val="120"/>
          <w:sz w:val="26"/>
        </w:rPr>
        <w:t>L</w:t>
        <w:tab/>
      </w:r>
      <w:r>
        <w:rPr>
          <w:rFonts w:ascii="Times New Roman"/>
          <w:w w:val="120"/>
          <w:sz w:val="26"/>
        </w:rPr>
        <w:t>(</w:t>
      </w:r>
      <w:r>
        <w:rPr>
          <w:rFonts w:ascii="Times New Roman"/>
          <w:i/>
          <w:w w:val="120"/>
          <w:sz w:val="26"/>
        </w:rPr>
        <w:t>h</w:t>
      </w:r>
      <w:r>
        <w:rPr>
          <w:rFonts w:ascii="Times New Roman"/>
          <w:w w:val="120"/>
          <w:sz w:val="26"/>
        </w:rPr>
        <w:t>)</w:t>
      </w:r>
    </w:p>
    <w:p>
      <w:pPr>
        <w:tabs>
          <w:tab w:pos="903" w:val="left" w:leader="none"/>
        </w:tabs>
        <w:spacing w:line="167" w:lineRule="exact" w:before="239"/>
        <w:ind w:left="132" w:right="0" w:firstLine="0"/>
        <w:jc w:val="left"/>
        <w:rPr>
          <w:rFonts w:ascii="Times New Roman" w:hAnsi="Times New Roman"/>
          <w:sz w:val="26"/>
        </w:rPr>
      </w:pPr>
      <w:r>
        <w:rPr/>
        <w:br w:type="column"/>
      </w:r>
      <w:r>
        <w:rPr>
          <w:rFonts w:ascii="Symbol" w:hAnsi="Symbol"/>
          <w:w w:val="125"/>
          <w:sz w:val="26"/>
        </w:rPr>
        <w:t></w:t>
      </w:r>
      <w:r>
        <w:rPr>
          <w:rFonts w:ascii="Times New Roman" w:hAnsi="Times New Roman"/>
          <w:spacing w:val="-19"/>
          <w:w w:val="125"/>
          <w:sz w:val="26"/>
        </w:rPr>
        <w:t> </w:t>
      </w:r>
      <w:r>
        <w:rPr>
          <w:rFonts w:ascii="Times New Roman" w:hAnsi="Times New Roman"/>
          <w:spacing w:val="7"/>
          <w:w w:val="125"/>
          <w:sz w:val="26"/>
        </w:rPr>
        <w:t>(</w:t>
      </w:r>
      <w:r>
        <w:rPr>
          <w:rFonts w:ascii="Times New Roman" w:hAnsi="Times New Roman"/>
          <w:i/>
          <w:spacing w:val="7"/>
          <w:w w:val="125"/>
          <w:sz w:val="26"/>
        </w:rPr>
        <w:t>L</w:t>
        <w:tab/>
      </w:r>
      <w:r>
        <w:rPr>
          <w:rFonts w:ascii="Times New Roman" w:hAnsi="Times New Roman"/>
          <w:w w:val="125"/>
          <w:sz w:val="26"/>
        </w:rPr>
        <w:t>)</w:t>
      </w:r>
      <w:r>
        <w:rPr>
          <w:rFonts w:ascii="Times New Roman" w:hAnsi="Times New Roman"/>
          <w:spacing w:val="60"/>
          <w:w w:val="125"/>
          <w:sz w:val="26"/>
        </w:rPr>
        <w:t> </w:t>
      </w:r>
      <w:r>
        <w:rPr>
          <w:rFonts w:ascii="Symbol" w:hAnsi="Symbol"/>
          <w:spacing w:val="8"/>
          <w:w w:val="125"/>
          <w:sz w:val="26"/>
        </w:rPr>
        <w:t></w:t>
      </w:r>
      <w:r>
        <w:rPr>
          <w:rFonts w:ascii="Times New Roman" w:hAnsi="Times New Roman"/>
          <w:spacing w:val="8"/>
          <w:w w:val="125"/>
          <w:sz w:val="26"/>
        </w:rPr>
        <w:t>10lg(</w:t>
      </w:r>
      <w:r>
        <w:rPr>
          <w:rFonts w:ascii="Times New Roman" w:hAnsi="Times New Roman"/>
          <w:spacing w:val="-31"/>
          <w:w w:val="125"/>
          <w:sz w:val="26"/>
        </w:rPr>
        <w:t> </w:t>
      </w:r>
      <w:r>
        <w:rPr>
          <w:rFonts w:ascii="Times New Roman" w:hAnsi="Times New Roman"/>
          <w:i/>
          <w:w w:val="125"/>
          <w:position w:val="12"/>
          <w:sz w:val="15"/>
          <w:u w:val="single"/>
        </w:rPr>
        <w:t>N</w:t>
      </w:r>
      <w:r>
        <w:rPr>
          <w:rFonts w:ascii="Times New Roman" w:hAnsi="Times New Roman"/>
          <w:i/>
          <w:w w:val="125"/>
          <w:position w:val="9"/>
          <w:sz w:val="11"/>
          <w:u w:val="single"/>
        </w:rPr>
        <w:t>i  </w:t>
      </w:r>
      <w:r>
        <w:rPr>
          <w:rFonts w:ascii="Times New Roman" w:hAnsi="Times New Roman"/>
          <w:w w:val="125"/>
          <w:sz w:val="26"/>
        </w:rPr>
        <w:t>)</w:t>
      </w:r>
      <w:r>
        <w:rPr>
          <w:rFonts w:ascii="Times New Roman" w:hAnsi="Times New Roman"/>
          <w:spacing w:val="-30"/>
          <w:w w:val="125"/>
          <w:sz w:val="26"/>
        </w:rPr>
        <w:t> </w:t>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1"/>
          <w:w w:val="125"/>
          <w:sz w:val="26"/>
        </w:rPr>
        <w:t> </w:t>
      </w:r>
      <w:r>
        <w:rPr>
          <w:rFonts w:ascii="Times New Roman" w:hAnsi="Times New Roman"/>
          <w:spacing w:val="-2"/>
          <w:w w:val="125"/>
          <w:position w:val="9"/>
          <w:sz w:val="15"/>
          <w:u w:val="single"/>
        </w:rPr>
        <w:t>7.5</w:t>
      </w:r>
      <w:r>
        <w:rPr>
          <w:rFonts w:ascii="Times New Roman" w:hAnsi="Times New Roman"/>
          <w:spacing w:val="-25"/>
          <w:w w:val="125"/>
          <w:position w:val="9"/>
          <w:sz w:val="15"/>
          <w:u w:val="single"/>
        </w:rPr>
        <w:t> </w:t>
      </w:r>
      <w:r>
        <w:rPr>
          <w:rFonts w:ascii="Times New Roman" w:hAnsi="Times New Roman"/>
          <w:w w:val="125"/>
          <w:sz w:val="26"/>
        </w:rPr>
        <w:t>)</w:t>
      </w:r>
    </w:p>
    <w:p>
      <w:pPr>
        <w:spacing w:line="206" w:lineRule="exact" w:before="200"/>
        <w:ind w:left="146" w:right="0" w:firstLine="0"/>
        <w:jc w:val="left"/>
        <w:rPr>
          <w:rFonts w:ascii="Times New Roman" w:hAnsi="Times New Roman"/>
          <w:sz w:val="26"/>
        </w:rPr>
      </w:pPr>
      <w:r>
        <w:rPr/>
        <w:br w:type="column"/>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3"/>
          <w:w w:val="125"/>
          <w:sz w:val="26"/>
        </w:rPr>
        <w:t> </w:t>
      </w:r>
      <w:r>
        <w:rPr>
          <w:rFonts w:ascii="Times New Roman" w:hAnsi="Times New Roman"/>
          <w:w w:val="125"/>
          <w:position w:val="15"/>
          <w:sz w:val="15"/>
        </w:rPr>
        <w:t>(</w:t>
      </w:r>
      <w:r>
        <w:rPr>
          <w:rFonts w:ascii="Symbol" w:hAnsi="Symbol"/>
          <w:w w:val="125"/>
          <w:position w:val="15"/>
          <w:sz w:val="15"/>
        </w:rPr>
        <w:t></w:t>
      </w:r>
      <w:r>
        <w:rPr>
          <w:rFonts w:ascii="Times New Roman" w:hAnsi="Times New Roman"/>
          <w:w w:val="125"/>
          <w:position w:val="8"/>
          <w:sz w:val="11"/>
        </w:rPr>
        <w:t>1 </w:t>
      </w:r>
      <w:r>
        <w:rPr>
          <w:rFonts w:ascii="Times New Roman" w:hAnsi="Times New Roman"/>
          <w:spacing w:val="-4"/>
          <w:w w:val="125"/>
          <w:position w:val="15"/>
          <w:sz w:val="15"/>
        </w:rPr>
        <w:t>,</w:t>
      </w:r>
      <w:r>
        <w:rPr>
          <w:rFonts w:ascii="Symbol" w:hAnsi="Symbol"/>
          <w:spacing w:val="-4"/>
          <w:w w:val="125"/>
          <w:position w:val="15"/>
          <w:sz w:val="15"/>
        </w:rPr>
        <w:t></w:t>
      </w:r>
      <w:r>
        <w:rPr>
          <w:rFonts w:ascii="Times New Roman" w:hAnsi="Times New Roman"/>
          <w:spacing w:val="-4"/>
          <w:w w:val="125"/>
          <w:position w:val="11"/>
          <w:sz w:val="11"/>
        </w:rPr>
        <w:t>2 </w:t>
      </w:r>
      <w:r>
        <w:rPr>
          <w:rFonts w:ascii="Times New Roman" w:hAnsi="Times New Roman"/>
          <w:w w:val="125"/>
          <w:position w:val="15"/>
          <w:sz w:val="15"/>
        </w:rPr>
        <w:t>) </w:t>
      </w:r>
      <w:r>
        <w:rPr>
          <w:rFonts w:ascii="Times New Roman" w:hAnsi="Times New Roman"/>
          <w:w w:val="125"/>
          <w:sz w:val="26"/>
        </w:rPr>
        <w:t>] </w:t>
      </w:r>
      <w:r>
        <w:rPr>
          <w:rFonts w:ascii="Symbol" w:hAnsi="Symbol"/>
          <w:w w:val="125"/>
          <w:sz w:val="26"/>
        </w:rPr>
        <w:t></w:t>
      </w:r>
      <w:r>
        <w:rPr>
          <w:rFonts w:ascii="Times New Roman" w:hAnsi="Times New Roman"/>
          <w:w w:val="125"/>
          <w:sz w:val="26"/>
        </w:rPr>
        <w:t> </w:t>
      </w:r>
      <w:r>
        <w:rPr>
          <w:rFonts w:ascii="Symbol" w:hAnsi="Symbol"/>
          <w:spacing w:val="-4"/>
          <w:w w:val="125"/>
          <w:sz w:val="26"/>
        </w:rPr>
        <w:t></w:t>
      </w:r>
      <w:r>
        <w:rPr>
          <w:rFonts w:ascii="Times New Roman" w:hAnsi="Times New Roman"/>
          <w:i/>
          <w:spacing w:val="-4"/>
          <w:w w:val="125"/>
          <w:sz w:val="26"/>
        </w:rPr>
        <w:t>L </w:t>
      </w:r>
      <w:r>
        <w:rPr>
          <w:rFonts w:ascii="Symbol" w:hAnsi="Symbol"/>
          <w:spacing w:val="6"/>
          <w:w w:val="125"/>
          <w:sz w:val="26"/>
        </w:rPr>
        <w:t></w:t>
      </w:r>
      <w:r>
        <w:rPr>
          <w:rFonts w:ascii="Times New Roman" w:hAnsi="Times New Roman"/>
          <w:spacing w:val="6"/>
          <w:w w:val="125"/>
          <w:sz w:val="26"/>
        </w:rPr>
        <w:t>16</w:t>
      </w:r>
    </w:p>
    <w:p>
      <w:pPr>
        <w:pStyle w:val="BodyText"/>
        <w:spacing w:before="1"/>
        <w:rPr>
          <w:rFonts w:ascii="Times New Roman"/>
          <w:sz w:val="2"/>
        </w:rPr>
      </w:pPr>
    </w:p>
    <w:p>
      <w:pPr>
        <w:pStyle w:val="BodyText"/>
        <w:spacing w:line="20" w:lineRule="exact"/>
        <w:ind w:left="1039"/>
        <w:rPr>
          <w:rFonts w:ascii="Times New Roman"/>
          <w:sz w:val="2"/>
        </w:rPr>
      </w:pPr>
      <w:r>
        <w:rPr>
          <w:rFonts w:ascii="Times New Roman"/>
          <w:sz w:val="2"/>
        </w:rPr>
        <w:pict>
          <v:group style="width:34.450pt;height:.550pt;mso-position-horizontal-relative:char;mso-position-vertical-relative:line" coordorigin="0,0" coordsize="689,11">
            <v:line style="position:absolute" from="6,6" to="683,6" stroked="true" strokeweight=".517915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80"/>
          <w:cols w:num="3" w:equalWidth="0">
            <w:col w:w="1570" w:space="40"/>
            <w:col w:w="3805" w:space="40"/>
            <w:col w:w="3295"/>
          </w:cols>
        </w:sectPr>
      </w:pPr>
    </w:p>
    <w:p>
      <w:pPr>
        <w:tabs>
          <w:tab w:pos="1577" w:val="left" w:leader="none"/>
        </w:tabs>
        <w:spacing w:before="20"/>
        <w:ind w:left="875" w:right="0" w:firstLine="0"/>
        <w:jc w:val="left"/>
        <w:rPr>
          <w:rFonts w:ascii="Times New Roman"/>
          <w:i/>
          <w:sz w:val="15"/>
        </w:rPr>
      </w:pPr>
      <w:r>
        <w:rPr/>
        <w:pict>
          <v:group style="position:absolute;margin-left:84.253998pt;margin-top:71.749977pt;width:427.1pt;height:698.7pt;mso-position-horizontal-relative:page;mso-position-vertical-relative:page;z-index:-19748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rFonts w:ascii="Times New Roman"/>
          <w:i/>
          <w:spacing w:val="-8"/>
          <w:w w:val="125"/>
          <w:sz w:val="15"/>
        </w:rPr>
        <w:t>Aeq</w:t>
        <w:tab/>
      </w:r>
      <w:r>
        <w:rPr>
          <w:rFonts w:ascii="Times New Roman"/>
          <w:i/>
          <w:w w:val="125"/>
          <w:sz w:val="15"/>
        </w:rPr>
        <w:t>i</w:t>
      </w:r>
    </w:p>
    <w:p>
      <w:pPr>
        <w:spacing w:before="20"/>
        <w:ind w:left="597" w:right="0" w:firstLine="0"/>
        <w:jc w:val="left"/>
        <w:rPr>
          <w:rFonts w:ascii="Times New Roman"/>
          <w:i/>
          <w:sz w:val="15"/>
        </w:rPr>
      </w:pPr>
      <w:r>
        <w:rPr/>
        <w:br w:type="column"/>
      </w:r>
      <w:r>
        <w:rPr>
          <w:rFonts w:ascii="Times New Roman"/>
          <w:i/>
          <w:w w:val="125"/>
          <w:sz w:val="15"/>
        </w:rPr>
        <w:t>oE   i</w:t>
      </w:r>
    </w:p>
    <w:p>
      <w:pPr>
        <w:tabs>
          <w:tab w:pos="2320" w:val="left" w:leader="none"/>
          <w:tab w:pos="3964" w:val="left" w:leader="none"/>
        </w:tabs>
        <w:spacing w:before="5"/>
        <w:ind w:left="875" w:right="0" w:firstLine="0"/>
        <w:jc w:val="left"/>
        <w:rPr>
          <w:rFonts w:ascii="Symbol" w:hAnsi="Symbol"/>
          <w:i/>
          <w:sz w:val="16"/>
        </w:rPr>
      </w:pPr>
      <w:r>
        <w:rPr/>
        <w:br w:type="column"/>
      </w:r>
      <w:r>
        <w:rPr>
          <w:rFonts w:ascii="Times New Roman" w:hAnsi="Times New Roman"/>
          <w:i/>
          <w:spacing w:val="-5"/>
          <w:w w:val="120"/>
          <w:sz w:val="15"/>
        </w:rPr>
        <w:t>V</w:t>
      </w:r>
      <w:r>
        <w:rPr>
          <w:rFonts w:ascii="Times New Roman" w:hAnsi="Times New Roman"/>
          <w:i/>
          <w:spacing w:val="-5"/>
          <w:w w:val="120"/>
          <w:position w:val="-3"/>
          <w:sz w:val="11"/>
        </w:rPr>
        <w:t>i</w:t>
      </w:r>
      <w:r>
        <w:rPr>
          <w:rFonts w:ascii="Times New Roman" w:hAnsi="Times New Roman"/>
          <w:i/>
          <w:spacing w:val="-5"/>
          <w:w w:val="120"/>
          <w:sz w:val="15"/>
        </w:rPr>
        <w:t>T</w:t>
        <w:tab/>
      </w:r>
      <w:r>
        <w:rPr>
          <w:rFonts w:ascii="Times New Roman" w:hAnsi="Times New Roman"/>
          <w:i/>
          <w:w w:val="120"/>
          <w:sz w:val="15"/>
        </w:rPr>
        <w:t>r</w:t>
        <w:tab/>
      </w:r>
      <w:r>
        <w:rPr>
          <w:rFonts w:ascii="Symbol" w:hAnsi="Symbol"/>
          <w:i/>
          <w:w w:val="120"/>
          <w:sz w:val="16"/>
        </w:rPr>
        <w:t></w:t>
      </w:r>
    </w:p>
    <w:p>
      <w:pPr>
        <w:spacing w:after="0"/>
        <w:jc w:val="left"/>
        <w:rPr>
          <w:rFonts w:ascii="Symbol" w:hAnsi="Symbol"/>
          <w:sz w:val="16"/>
        </w:rPr>
        <w:sectPr>
          <w:type w:val="continuous"/>
          <w:pgSz w:w="11910" w:h="16850"/>
          <w:pgMar w:top="1600" w:bottom="280" w:left="1580" w:right="1580"/>
          <w:cols w:num="3" w:equalWidth="0">
            <w:col w:w="1630" w:space="40"/>
            <w:col w:w="1010" w:space="127"/>
            <w:col w:w="5943"/>
          </w:cols>
        </w:sectPr>
      </w:pPr>
    </w:p>
    <w:p>
      <w:pPr>
        <w:pStyle w:val="BodyText"/>
        <w:ind w:left="105"/>
        <w:rPr>
          <w:rFonts w:ascii="Symbol" w:hAnsi="Symbol"/>
          <w:sz w:val="20"/>
        </w:rPr>
      </w:pPr>
      <w:r>
        <w:rPr>
          <w:rFonts w:ascii="Symbol" w:hAnsi="Symbol"/>
          <w:sz w:val="20"/>
        </w:rPr>
        <w:pict>
          <v:group style="width:427.1pt;height:687.15pt;mso-position-horizontal-relative:char;mso-position-vertical-relative:line" coordorigin="0,0" coordsize="8542,13743">
            <v:shape style="position:absolute;left:2649;top:4262;width:3240;height:1426" type="#_x0000_t75" stroked="false">
              <v:imagedata r:id="rId12" o:title=""/>
            </v:shape>
            <v:shape style="position:absolute;left:5;top:5;width:8532;height:13733" type="#_x0000_t202" filled="false" stroked="true" strokeweight=".47998pt" strokecolor="#000000">
              <v:textbox inset="0,0,0,0">
                <w:txbxContent>
                  <w:p>
                    <w:pPr>
                      <w:spacing w:line="274" w:lineRule="exact" w:before="0"/>
                      <w:ind w:left="583" w:right="0" w:firstLine="0"/>
                      <w:jc w:val="left"/>
                      <w:rPr>
                        <w:sz w:val="24"/>
                      </w:rPr>
                    </w:pPr>
                    <w:r>
                      <w:rPr>
                        <w:sz w:val="24"/>
                      </w:rPr>
                      <w:t>式中：</w:t>
                    </w:r>
                  </w:p>
                  <w:p>
                    <w:pPr>
                      <w:spacing w:before="154"/>
                      <w:ind w:left="1063" w:right="0" w:firstLine="0"/>
                      <w:jc w:val="left"/>
                      <w:rPr>
                        <w:sz w:val="24"/>
                      </w:rPr>
                    </w:pPr>
                    <w:r>
                      <w:rPr>
                        <w:rFonts w:ascii="Times New Roman" w:hAnsi="Times New Roman" w:eastAsia="Times New Roman"/>
                        <w:i/>
                        <w:sz w:val="24"/>
                      </w:rPr>
                      <w:t>L</w:t>
                    </w:r>
                    <w:r>
                      <w:rPr>
                        <w:rFonts w:ascii="Times New Roman" w:hAnsi="Times New Roman" w:eastAsia="Times New Roman"/>
                        <w:i/>
                        <w:position w:val="-2"/>
                        <w:sz w:val="16"/>
                      </w:rPr>
                      <w:t>Aeq</w:t>
                    </w:r>
                    <w:r>
                      <w:rPr>
                        <w:rFonts w:ascii="Times New Roman" w:hAnsi="Times New Roman" w:eastAsia="Times New Roman"/>
                        <w:i/>
                        <w:sz w:val="24"/>
                      </w:rPr>
                      <w:t>(h</w:t>
                    </w:r>
                    <w:r>
                      <w:rPr>
                        <w:rFonts w:ascii="Times New Roman" w:hAnsi="Times New Roman" w:eastAsia="Times New Roman"/>
                        <w:sz w:val="24"/>
                      </w:rPr>
                      <w:t>)</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类车的小时等效声级，</w:t>
                    </w:r>
                    <w:r>
                      <w:rPr>
                        <w:rFonts w:ascii="Times New Roman" w:hAnsi="Times New Roman" w:eastAsia="Times New Roman"/>
                        <w:sz w:val="24"/>
                      </w:rPr>
                      <w:t>dB(A)</w:t>
                    </w:r>
                    <w:r>
                      <w:rPr>
                        <w:sz w:val="24"/>
                      </w:rPr>
                      <w:t>；</w:t>
                    </w:r>
                  </w:p>
                  <w:p>
                    <w:pPr>
                      <w:spacing w:before="122"/>
                      <w:ind w:left="1096" w:right="0" w:firstLine="0"/>
                      <w:jc w:val="left"/>
                      <w:rPr>
                        <w:sz w:val="24"/>
                      </w:rPr>
                    </w:pPr>
                    <w:r>
                      <w:rPr>
                        <w:rFonts w:ascii="Times New Roman" w:hAnsi="Times New Roman" w:eastAsia="Times New Roman"/>
                        <w:sz w:val="24"/>
                      </w:rPr>
                      <w:t>(</w:t>
                    </w:r>
                    <w:r>
                      <w:rPr>
                        <w:rFonts w:ascii="Times New Roman" w:hAnsi="Times New Roman" w:eastAsia="Times New Roman"/>
                        <w:i/>
                        <w:sz w:val="24"/>
                      </w:rPr>
                      <w:t>L</w:t>
                    </w:r>
                    <w:r>
                      <w:rPr>
                        <w:rFonts w:ascii="Times New Roman" w:hAnsi="Times New Roman" w:eastAsia="Times New Roman"/>
                        <w:i/>
                        <w:position w:val="-5"/>
                        <w:sz w:val="14"/>
                      </w:rPr>
                      <w:t>oE </w:t>
                    </w:r>
                    <w:r>
                      <w:rPr>
                        <w:rFonts w:ascii="Times New Roman" w:hAnsi="Times New Roman" w:eastAsia="Times New Roman"/>
                        <w:sz w:val="24"/>
                      </w:rPr>
                      <w:t>)</w:t>
                    </w:r>
                    <w:r>
                      <w:rPr>
                        <w:rFonts w:ascii="Times New Roman" w:hAnsi="Times New Roman" w:eastAsia="Times New Roman"/>
                        <w:i/>
                        <w:position w:val="-5"/>
                        <w:sz w:val="14"/>
                      </w:rPr>
                      <w:t>i </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类车速度为 </w:t>
                    </w:r>
                    <w:r>
                      <w:rPr>
                        <w:rFonts w:ascii="Times New Roman" w:hAnsi="Times New Roman" w:eastAsia="Times New Roman"/>
                        <w:sz w:val="24"/>
                      </w:rPr>
                      <w:t>V</w:t>
                    </w:r>
                    <w:r>
                      <w:rPr>
                        <w:rFonts w:ascii="Times New Roman" w:hAnsi="Times New Roman" w:eastAsia="Times New Roman"/>
                        <w:position w:val="-2"/>
                        <w:sz w:val="16"/>
                      </w:rPr>
                      <w:t>i</w:t>
                    </w:r>
                    <w:r>
                      <w:rPr>
                        <w:sz w:val="24"/>
                      </w:rPr>
                      <w:t>，</w:t>
                    </w:r>
                    <w:r>
                      <w:rPr>
                        <w:rFonts w:ascii="Times New Roman" w:hAnsi="Times New Roman" w:eastAsia="Times New Roman"/>
                        <w:sz w:val="24"/>
                      </w:rPr>
                      <w:t>km/h</w:t>
                    </w:r>
                    <w:r>
                      <w:rPr>
                        <w:sz w:val="24"/>
                      </w:rPr>
                      <w:t>；水平距离为 </w:t>
                    </w:r>
                    <w:r>
                      <w:rPr>
                        <w:rFonts w:ascii="Times New Roman" w:hAnsi="Times New Roman" w:eastAsia="Times New Roman"/>
                        <w:sz w:val="24"/>
                      </w:rPr>
                      <w:t>7.5 </w:t>
                    </w:r>
                    <w:r>
                      <w:rPr>
                        <w:sz w:val="24"/>
                      </w:rPr>
                      <w:t>米处的能量平均</w:t>
                    </w:r>
                  </w:p>
                  <w:p>
                    <w:pPr>
                      <w:spacing w:before="146"/>
                      <w:ind w:left="88" w:right="6596" w:firstLine="0"/>
                      <w:jc w:val="center"/>
                      <w:rPr>
                        <w:sz w:val="24"/>
                      </w:rPr>
                    </w:pPr>
                    <w:r>
                      <w:rPr>
                        <w:rFonts w:ascii="Times New Roman" w:eastAsia="Times New Roman"/>
                        <w:sz w:val="24"/>
                      </w:rPr>
                      <w:t>A </w:t>
                    </w:r>
                    <w:r>
                      <w:rPr>
                        <w:sz w:val="24"/>
                      </w:rPr>
                      <w:t>声级，</w:t>
                    </w:r>
                    <w:r>
                      <w:rPr>
                        <w:rFonts w:ascii="Times New Roman" w:eastAsia="Times New Roman"/>
                        <w:sz w:val="24"/>
                      </w:rPr>
                      <w:t>dB(A)</w:t>
                    </w:r>
                    <w:r>
                      <w:rPr>
                        <w:sz w:val="24"/>
                      </w:rPr>
                      <w:t>；</w:t>
                    </w:r>
                  </w:p>
                  <w:p>
                    <w:pPr>
                      <w:spacing w:before="133"/>
                      <w:ind w:left="1063" w:right="0" w:firstLine="0"/>
                      <w:jc w:val="left"/>
                      <w:rPr>
                        <w:sz w:val="24"/>
                      </w:rPr>
                    </w:pPr>
                    <w:r>
                      <w:rPr>
                        <w:rFonts w:ascii="Times New Roman" w:hAnsi="Times New Roman" w:eastAsia="Times New Roman"/>
                        <w:i/>
                        <w:sz w:val="24"/>
                      </w:rPr>
                      <w:t>N</w:t>
                    </w:r>
                    <w:r>
                      <w:rPr>
                        <w:rFonts w:ascii="Times New Roman" w:hAnsi="Times New Roman" w:eastAsia="Times New Roman"/>
                        <w:i/>
                        <w:position w:val="-2"/>
                        <w:sz w:val="16"/>
                      </w:rPr>
                      <w:t>i</w:t>
                    </w:r>
                    <w:r>
                      <w:rPr>
                        <w:rFonts w:ascii="Times New Roman" w:hAnsi="Times New Roman" w:eastAsia="Times New Roman"/>
                        <w:sz w:val="24"/>
                      </w:rPr>
                      <w:t>——</w:t>
                    </w:r>
                    <w:r>
                      <w:rPr>
                        <w:sz w:val="24"/>
                      </w:rPr>
                      <w:t>昼间，夜间通过某预测点的第 </w:t>
                    </w:r>
                    <w:r>
                      <w:rPr>
                        <w:rFonts w:ascii="Times New Roman" w:hAnsi="Times New Roman" w:eastAsia="Times New Roman"/>
                        <w:i/>
                        <w:sz w:val="24"/>
                      </w:rPr>
                      <w:t>i </w:t>
                    </w:r>
                    <w:r>
                      <w:rPr>
                        <w:sz w:val="24"/>
                      </w:rPr>
                      <w:t>类车流量，辆</w:t>
                    </w:r>
                    <w:r>
                      <w:rPr>
                        <w:rFonts w:ascii="Times New Roman" w:hAnsi="Times New Roman" w:eastAsia="Times New Roman"/>
                        <w:sz w:val="24"/>
                      </w:rPr>
                      <w:t>/h</w:t>
                    </w:r>
                    <w:r>
                      <w:rPr>
                        <w:sz w:val="24"/>
                      </w:rPr>
                      <w:t>；</w:t>
                    </w:r>
                  </w:p>
                  <w:p>
                    <w:pPr>
                      <w:spacing w:before="122"/>
                      <w:ind w:left="1063" w:right="0" w:firstLine="0"/>
                      <w:jc w:val="left"/>
                      <w:rPr>
                        <w:sz w:val="24"/>
                      </w:rPr>
                    </w:pPr>
                    <w:r>
                      <w:rPr>
                        <w:rFonts w:ascii="Times New Roman" w:hAnsi="Times New Roman" w:eastAsia="Times New Roman"/>
                        <w:i/>
                        <w:w w:val="95"/>
                        <w:sz w:val="24"/>
                      </w:rPr>
                      <w:t>r</w:t>
                    </w:r>
                    <w:r>
                      <w:rPr>
                        <w:rFonts w:ascii="Times New Roman" w:hAnsi="Times New Roman" w:eastAsia="Times New Roman"/>
                        <w:w w:val="95"/>
                        <w:sz w:val="24"/>
                      </w:rPr>
                      <w:t>——</w:t>
                    </w:r>
                    <w:r>
                      <w:rPr>
                        <w:w w:val="95"/>
                        <w:sz w:val="24"/>
                      </w:rPr>
                      <w:t>从车道中心线到预测点的距离，</w:t>
                    </w:r>
                    <w:r>
                      <w:rPr>
                        <w:rFonts w:ascii="Times New Roman" w:hAnsi="Times New Roman" w:eastAsia="Times New Roman"/>
                        <w:w w:val="95"/>
                        <w:sz w:val="24"/>
                      </w:rPr>
                      <w:t>m</w:t>
                    </w:r>
                    <w:r>
                      <w:rPr>
                        <w:w w:val="95"/>
                        <w:sz w:val="24"/>
                      </w:rPr>
                      <w:t>；</w:t>
                    </w:r>
                  </w:p>
                  <w:p>
                    <w:pPr>
                      <w:spacing w:before="132"/>
                      <w:ind w:left="1063" w:right="0" w:firstLine="0"/>
                      <w:jc w:val="left"/>
                      <w:rPr>
                        <w:sz w:val="24"/>
                      </w:rPr>
                    </w:pPr>
                    <w:r>
                      <w:rPr>
                        <w:rFonts w:ascii="Times New Roman" w:hAnsi="Times New Roman" w:eastAsia="Times New Roman"/>
                        <w:i/>
                        <w:sz w:val="24"/>
                      </w:rPr>
                      <w:t>V</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类车的平均车速，</w:t>
                    </w:r>
                    <w:r>
                      <w:rPr>
                        <w:rFonts w:ascii="Times New Roman" w:hAnsi="Times New Roman" w:eastAsia="Times New Roman"/>
                        <w:sz w:val="24"/>
                      </w:rPr>
                      <w:t>km/h</w:t>
                    </w:r>
                    <w:r>
                      <w:rPr>
                        <w:sz w:val="24"/>
                      </w:rPr>
                      <w:t>；</w:t>
                    </w:r>
                  </w:p>
                  <w:p>
                    <w:pPr>
                      <w:spacing w:before="122"/>
                      <w:ind w:left="1063" w:right="0" w:firstLine="0"/>
                      <w:jc w:val="left"/>
                      <w:rPr>
                        <w:sz w:val="24"/>
                      </w:rPr>
                    </w:pPr>
                    <w:r>
                      <w:rPr>
                        <w:rFonts w:ascii="Times New Roman" w:hAnsi="Times New Roman" w:eastAsia="Times New Roman"/>
                        <w:i/>
                        <w:w w:val="95"/>
                        <w:sz w:val="24"/>
                      </w:rPr>
                      <w:t>T</w:t>
                    </w:r>
                    <w:r>
                      <w:rPr>
                        <w:rFonts w:ascii="Times New Roman" w:hAnsi="Times New Roman" w:eastAsia="Times New Roman"/>
                        <w:w w:val="95"/>
                        <w:sz w:val="24"/>
                      </w:rPr>
                      <w:t>——</w:t>
                    </w:r>
                    <w:r>
                      <w:rPr>
                        <w:w w:val="95"/>
                        <w:sz w:val="24"/>
                      </w:rPr>
                      <w:t>计算等效声级的时间，</w:t>
                    </w:r>
                    <w:r>
                      <w:rPr>
                        <w:rFonts w:ascii="Times New Roman" w:hAnsi="Times New Roman" w:eastAsia="Times New Roman"/>
                        <w:w w:val="95"/>
                        <w:sz w:val="24"/>
                      </w:rPr>
                      <w:t>1h</w:t>
                    </w:r>
                    <w:r>
                      <w:rPr>
                        <w:w w:val="95"/>
                        <w:sz w:val="24"/>
                      </w:rPr>
                      <w:t>；</w:t>
                    </w:r>
                  </w:p>
                  <w:p>
                    <w:pPr>
                      <w:spacing w:before="136"/>
                      <w:ind w:left="1003" w:right="0" w:firstLine="0"/>
                      <w:jc w:val="left"/>
                      <w:rPr>
                        <w:sz w:val="24"/>
                      </w:rPr>
                    </w:pPr>
                    <w:r>
                      <w:rPr>
                        <w:rFonts w:ascii="Times New Roman" w:hAnsi="Times New Roman" w:eastAsia="Times New Roman"/>
                        <w:sz w:val="24"/>
                      </w:rPr>
                      <w:t>Ψ</w:t>
                    </w:r>
                    <w:r>
                      <w:rPr>
                        <w:rFonts w:ascii="Times New Roman" w:hAnsi="Times New Roman" w:eastAsia="Times New Roman"/>
                        <w:position w:val="-2"/>
                        <w:sz w:val="16"/>
                      </w:rPr>
                      <w:t>1</w:t>
                    </w:r>
                    <w:r>
                      <w:rPr>
                        <w:sz w:val="24"/>
                      </w:rPr>
                      <w:t>、</w:t>
                    </w:r>
                    <w:r>
                      <w:rPr>
                        <w:rFonts w:ascii="Times New Roman" w:hAnsi="Times New Roman" w:eastAsia="Times New Roman"/>
                        <w:sz w:val="24"/>
                      </w:rPr>
                      <w:t>Ψ</w:t>
                    </w:r>
                    <w:r>
                      <w:rPr>
                        <w:rFonts w:ascii="Times New Roman" w:hAnsi="Times New Roman" w:eastAsia="Times New Roman"/>
                        <w:position w:val="-2"/>
                        <w:sz w:val="16"/>
                      </w:rPr>
                      <w:t>2</w:t>
                    </w:r>
                    <w:r>
                      <w:rPr>
                        <w:rFonts w:ascii="Times New Roman" w:hAnsi="Times New Roman" w:eastAsia="Times New Roman"/>
                        <w:sz w:val="24"/>
                      </w:rPr>
                      <w:t>——</w:t>
                    </w:r>
                    <w:r>
                      <w:rPr>
                        <w:sz w:val="24"/>
                      </w:rPr>
                      <w:t>预测点到有限长路段两端的张角</w:t>
                    </w:r>
                    <w:r>
                      <w:rPr>
                        <w:rFonts w:ascii="Times New Roman" w:hAnsi="Times New Roman" w:eastAsia="Times New Roman"/>
                        <w:sz w:val="24"/>
                      </w:rPr>
                      <w:t>(rad)</w:t>
                    </w:r>
                    <w:r>
                      <w:rPr>
                        <w:sz w:val="24"/>
                      </w:rPr>
                      <w:t>，如下图所示：</w:t>
                    </w: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6"/>
                      <w:rPr>
                        <w:rFonts w:ascii="Symbol" w:hAnsi="Symbol"/>
                        <w:i/>
                        <w:sz w:val="24"/>
                      </w:rPr>
                    </w:pPr>
                  </w:p>
                  <w:p>
                    <w:pPr>
                      <w:spacing w:before="0"/>
                      <w:ind w:left="2822" w:right="0" w:firstLine="0"/>
                      <w:jc w:val="left"/>
                      <w:rPr>
                        <w:sz w:val="21"/>
                      </w:rPr>
                    </w:pPr>
                    <w:r>
                      <w:rPr>
                        <w:sz w:val="21"/>
                      </w:rPr>
                      <w:t>图中 </w:t>
                    </w:r>
                    <w:r>
                      <w:rPr>
                        <w:rFonts w:ascii="Times New Roman" w:eastAsia="Times New Roman"/>
                        <w:sz w:val="21"/>
                      </w:rPr>
                      <w:t>AB </w:t>
                    </w:r>
                    <w:r>
                      <w:rPr>
                        <w:sz w:val="21"/>
                      </w:rPr>
                      <w:t>为路段，</w:t>
                    </w:r>
                    <w:r>
                      <w:rPr>
                        <w:rFonts w:ascii="Times New Roman" w:eastAsia="Times New Roman"/>
                        <w:sz w:val="21"/>
                      </w:rPr>
                      <w:t>P </w:t>
                    </w:r>
                    <w:r>
                      <w:rPr>
                        <w:sz w:val="21"/>
                      </w:rPr>
                      <w:t>为预测点；</w:t>
                    </w:r>
                  </w:p>
                  <w:p>
                    <w:pPr>
                      <w:spacing w:line="362" w:lineRule="auto" w:before="110"/>
                      <w:ind w:left="1063" w:right="1334" w:firstLine="0"/>
                      <w:jc w:val="left"/>
                      <w:rPr>
                        <w:rFonts w:ascii="Times New Roman" w:hAnsi="Times New Roman" w:eastAsia="Times New Roman"/>
                        <w:i/>
                        <w:sz w:val="16"/>
                      </w:rPr>
                    </w:pPr>
                    <w:r>
                      <w:rPr>
                        <w:rFonts w:ascii="Times New Roman" w:hAnsi="Times New Roman" w:eastAsia="Times New Roman"/>
                        <w:i/>
                        <w:sz w:val="24"/>
                      </w:rPr>
                      <w:t>ΔL——</w:t>
                    </w:r>
                    <w:r>
                      <w:rPr>
                        <w:sz w:val="24"/>
                      </w:rPr>
                      <w:t>由其他因素引起的修正量，</w:t>
                    </w:r>
                    <w:r>
                      <w:rPr>
                        <w:rFonts w:ascii="Times New Roman" w:hAnsi="Times New Roman" w:eastAsia="Times New Roman"/>
                        <w:sz w:val="24"/>
                      </w:rPr>
                      <w:t>dB(A)</w:t>
                    </w:r>
                    <w:r>
                      <w:rPr>
                        <w:sz w:val="24"/>
                      </w:rPr>
                      <w:t>，可按下式计算： </w:t>
                    </w:r>
                    <w:r>
                      <w:rPr>
                        <w:rFonts w:ascii="Times New Roman" w:hAnsi="Times New Roman" w:eastAsia="Times New Roman"/>
                        <w:i/>
                        <w:sz w:val="24"/>
                      </w:rPr>
                      <w:t>ΔL=ΔL</w:t>
                    </w:r>
                    <w:r>
                      <w:rPr>
                        <w:rFonts w:ascii="Times New Roman" w:hAnsi="Times New Roman" w:eastAsia="Times New Roman"/>
                        <w:i/>
                        <w:position w:val="-2"/>
                        <w:sz w:val="16"/>
                      </w:rPr>
                      <w:t>1</w:t>
                    </w: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i/>
                        <w:sz w:val="24"/>
                      </w:rPr>
                      <w:t>+ΔL</w:t>
                    </w:r>
                    <w:r>
                      <w:rPr>
                        <w:rFonts w:ascii="Times New Roman" w:hAnsi="Times New Roman" w:eastAsia="Times New Roman"/>
                        <w:i/>
                        <w:position w:val="-2"/>
                        <w:sz w:val="16"/>
                      </w:rPr>
                      <w:t>3</w:t>
                    </w:r>
                  </w:p>
                  <w:p>
                    <w:pPr>
                      <w:spacing w:before="4"/>
                      <w:ind w:left="1063" w:right="0" w:firstLine="0"/>
                      <w:jc w:val="left"/>
                      <w:rPr>
                        <w:i/>
                        <w:sz w:val="12"/>
                      </w:rPr>
                    </w:pPr>
                    <w:r>
                      <w:rPr>
                        <w:rFonts w:ascii="Times New Roman" w:hAnsi="Times New Roman" w:eastAsia="Times New Roman"/>
                        <w:i/>
                        <w:position w:val="3"/>
                        <w:sz w:val="24"/>
                      </w:rPr>
                      <w:t>ΔL</w:t>
                    </w:r>
                    <w:r>
                      <w:rPr>
                        <w:rFonts w:ascii="Times New Roman" w:hAnsi="Times New Roman" w:eastAsia="Times New Roman"/>
                        <w:i/>
                        <w:sz w:val="16"/>
                      </w:rPr>
                      <w:t>1=</w:t>
                    </w:r>
                    <w:r>
                      <w:rPr>
                        <w:rFonts w:ascii="Times New Roman" w:hAnsi="Times New Roman" w:eastAsia="Times New Roman"/>
                        <w:i/>
                        <w:position w:val="3"/>
                        <w:sz w:val="24"/>
                      </w:rPr>
                      <w:t>ΔL </w:t>
                    </w:r>
                    <w:r>
                      <w:rPr>
                        <w:i/>
                        <w:position w:val="1"/>
                        <w:sz w:val="12"/>
                      </w:rPr>
                      <w:t>坡度</w:t>
                    </w:r>
                    <w:r>
                      <w:rPr>
                        <w:rFonts w:ascii="Times New Roman" w:hAnsi="Times New Roman" w:eastAsia="Times New Roman"/>
                        <w:i/>
                        <w:sz w:val="16"/>
                      </w:rPr>
                      <w:t>+</w:t>
                    </w:r>
                    <w:r>
                      <w:rPr>
                        <w:rFonts w:ascii="Times New Roman" w:hAnsi="Times New Roman" w:eastAsia="Times New Roman"/>
                        <w:i/>
                        <w:position w:val="3"/>
                        <w:sz w:val="24"/>
                      </w:rPr>
                      <w:t>ΔL </w:t>
                    </w:r>
                    <w:r>
                      <w:rPr>
                        <w:i/>
                        <w:position w:val="1"/>
                        <w:sz w:val="12"/>
                      </w:rPr>
                      <w:t>路面</w:t>
                    </w:r>
                  </w:p>
                  <w:p>
                    <w:pPr>
                      <w:spacing w:before="157"/>
                      <w:ind w:left="1063" w:right="0" w:firstLine="0"/>
                      <w:jc w:val="left"/>
                      <w:rPr>
                        <w:rFonts w:ascii="Times New Roman" w:hAnsi="Times New Roman"/>
                        <w:i/>
                        <w:sz w:val="16"/>
                      </w:rPr>
                    </w:pPr>
                    <w:r>
                      <w:rPr>
                        <w:rFonts w:ascii="Times New Roman" w:hAnsi="Times New Roman"/>
                        <w:i/>
                        <w:position w:val="3"/>
                        <w:sz w:val="24"/>
                      </w:rPr>
                      <w:t>ΔL</w:t>
                    </w:r>
                    <w:r>
                      <w:rPr>
                        <w:rFonts w:ascii="Times New Roman" w:hAnsi="Times New Roman"/>
                        <w:i/>
                        <w:sz w:val="16"/>
                      </w:rPr>
                      <w:t>1=</w:t>
                    </w:r>
                    <w:r>
                      <w:rPr>
                        <w:rFonts w:ascii="Times New Roman" w:hAnsi="Times New Roman"/>
                        <w:i/>
                        <w:position w:val="3"/>
                        <w:sz w:val="24"/>
                      </w:rPr>
                      <w:t>A</w:t>
                    </w:r>
                    <w:r>
                      <w:rPr>
                        <w:rFonts w:ascii="Times New Roman" w:hAnsi="Times New Roman"/>
                        <w:i/>
                        <w:sz w:val="16"/>
                      </w:rPr>
                      <w:t>atm</w:t>
                    </w:r>
                    <w:r>
                      <w:rPr>
                        <w:rFonts w:ascii="Times New Roman" w:hAnsi="Times New Roman"/>
                        <w:i/>
                        <w:position w:val="3"/>
                        <w:sz w:val="24"/>
                      </w:rPr>
                      <w:t>+ A</w:t>
                    </w:r>
                    <w:r>
                      <w:rPr>
                        <w:rFonts w:ascii="Times New Roman" w:hAnsi="Times New Roman"/>
                        <w:i/>
                        <w:sz w:val="16"/>
                      </w:rPr>
                      <w:t>gr</w:t>
                    </w:r>
                    <w:r>
                      <w:rPr>
                        <w:rFonts w:ascii="Times New Roman" w:hAnsi="Times New Roman"/>
                        <w:i/>
                        <w:position w:val="3"/>
                        <w:sz w:val="24"/>
                      </w:rPr>
                      <w:t>+ A</w:t>
                    </w:r>
                    <w:r>
                      <w:rPr>
                        <w:rFonts w:ascii="Times New Roman" w:hAnsi="Times New Roman"/>
                        <w:i/>
                        <w:sz w:val="16"/>
                      </w:rPr>
                      <w:t>bar</w:t>
                    </w:r>
                    <w:r>
                      <w:rPr>
                        <w:rFonts w:ascii="Times New Roman" w:hAnsi="Times New Roman"/>
                        <w:i/>
                        <w:position w:val="3"/>
                        <w:sz w:val="24"/>
                      </w:rPr>
                      <w:t>+ A</w:t>
                    </w:r>
                    <w:r>
                      <w:rPr>
                        <w:rFonts w:ascii="Times New Roman" w:hAnsi="Times New Roman"/>
                        <w:i/>
                        <w:sz w:val="16"/>
                      </w:rPr>
                      <w:t>musc</w:t>
                    </w:r>
                  </w:p>
                  <w:p>
                    <w:pPr>
                      <w:spacing w:before="88"/>
                      <w:ind w:left="583" w:right="0" w:firstLine="0"/>
                      <w:jc w:val="left"/>
                      <w:rPr>
                        <w:sz w:val="24"/>
                      </w:rPr>
                    </w:pPr>
                    <w:r>
                      <w:rPr>
                        <w:sz w:val="24"/>
                      </w:rPr>
                      <w:t>式中：</w:t>
                    </w:r>
                  </w:p>
                  <w:p>
                    <w:pPr>
                      <w:spacing w:before="15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1</w:t>
                    </w:r>
                    <w:r>
                      <w:rPr>
                        <w:rFonts w:ascii="Times New Roman" w:hAnsi="Times New Roman" w:eastAsia="Times New Roman"/>
                        <w:sz w:val="24"/>
                      </w:rPr>
                      <w:t>——</w:t>
                    </w:r>
                    <w:r>
                      <w:rPr>
                        <w:sz w:val="24"/>
                      </w:rPr>
                      <w:t>线路因素引起的修正量，</w:t>
                    </w:r>
                    <w:r>
                      <w:rPr>
                        <w:rFonts w:ascii="Times New Roman" w:hAnsi="Times New Roman" w:eastAsia="Times New Roman"/>
                        <w:sz w:val="24"/>
                      </w:rPr>
                      <w:t>dB(A)</w:t>
                    </w:r>
                    <w:r>
                      <w:rPr>
                        <w:sz w:val="24"/>
                      </w:rPr>
                      <w:t>；</w:t>
                    </w:r>
                  </w:p>
                  <w:p>
                    <w:pPr>
                      <w:spacing w:before="119"/>
                      <w:ind w:left="1063" w:right="0" w:firstLine="0"/>
                      <w:jc w:val="left"/>
                      <w:rPr>
                        <w:sz w:val="24"/>
                      </w:rPr>
                    </w:pPr>
                    <w:r>
                      <w:rPr>
                        <w:rFonts w:ascii="Times New Roman" w:hAnsi="Times New Roman" w:eastAsia="Times New Roman"/>
                        <w:i/>
                        <w:position w:val="2"/>
                        <w:sz w:val="24"/>
                      </w:rPr>
                      <w:t>ΔL </w:t>
                    </w:r>
                    <w:r>
                      <w:rPr>
                        <w:i/>
                        <w:sz w:val="12"/>
                      </w:rPr>
                      <w:t>坡度</w:t>
                    </w:r>
                    <w:r>
                      <w:rPr>
                        <w:rFonts w:ascii="Times New Roman" w:hAnsi="Times New Roman" w:eastAsia="Times New Roman"/>
                        <w:position w:val="2"/>
                        <w:sz w:val="24"/>
                      </w:rPr>
                      <w:t>——</w:t>
                    </w:r>
                    <w:r>
                      <w:rPr>
                        <w:position w:val="2"/>
                        <w:sz w:val="24"/>
                      </w:rPr>
                      <w:t>公路纵坡修正量，</w:t>
                    </w:r>
                    <w:r>
                      <w:rPr>
                        <w:rFonts w:ascii="Times New Roman" w:hAnsi="Times New Roman" w:eastAsia="Times New Roman"/>
                        <w:position w:val="2"/>
                        <w:sz w:val="24"/>
                      </w:rPr>
                      <w:t>dB(A)</w:t>
                    </w:r>
                    <w:r>
                      <w:rPr>
                        <w:position w:val="2"/>
                        <w:sz w:val="24"/>
                      </w:rPr>
                      <w:t>；</w:t>
                    </w:r>
                  </w:p>
                  <w:p>
                    <w:pPr>
                      <w:spacing w:before="135"/>
                      <w:ind w:left="1063" w:right="0" w:firstLine="0"/>
                      <w:jc w:val="left"/>
                      <w:rPr>
                        <w:sz w:val="24"/>
                      </w:rPr>
                    </w:pPr>
                    <w:r>
                      <w:rPr>
                        <w:rFonts w:ascii="Times New Roman" w:hAnsi="Times New Roman" w:eastAsia="Times New Roman"/>
                        <w:i/>
                        <w:position w:val="2"/>
                        <w:sz w:val="24"/>
                      </w:rPr>
                      <w:t>ΔL </w:t>
                    </w:r>
                    <w:r>
                      <w:rPr>
                        <w:i/>
                        <w:sz w:val="12"/>
                      </w:rPr>
                      <w:t>路面</w:t>
                    </w:r>
                    <w:r>
                      <w:rPr>
                        <w:rFonts w:ascii="Times New Roman" w:hAnsi="Times New Roman" w:eastAsia="Times New Roman"/>
                        <w:position w:val="2"/>
                        <w:sz w:val="24"/>
                      </w:rPr>
                      <w:t>——</w:t>
                    </w:r>
                    <w:r>
                      <w:rPr>
                        <w:position w:val="2"/>
                        <w:sz w:val="24"/>
                      </w:rPr>
                      <w:t>公路路面材料引起的修正量，</w:t>
                    </w:r>
                    <w:r>
                      <w:rPr>
                        <w:rFonts w:ascii="Times New Roman" w:hAnsi="Times New Roman" w:eastAsia="Times New Roman"/>
                        <w:position w:val="2"/>
                        <w:sz w:val="24"/>
                      </w:rPr>
                      <w:t>dB(A)</w:t>
                    </w:r>
                    <w:r>
                      <w:rPr>
                        <w:position w:val="2"/>
                        <w:sz w:val="24"/>
                      </w:rPr>
                      <w:t>；</w:t>
                    </w:r>
                  </w:p>
                  <w:p>
                    <w:pPr>
                      <w:spacing w:before="13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sz w:val="24"/>
                      </w:rPr>
                      <w:t>——</w:t>
                    </w:r>
                    <w:r>
                      <w:rPr>
                        <w:sz w:val="24"/>
                      </w:rPr>
                      <w:t>声波传播途径中引起的衰减量，</w:t>
                    </w:r>
                    <w:r>
                      <w:rPr>
                        <w:rFonts w:ascii="Times New Roman" w:hAnsi="Times New Roman" w:eastAsia="Times New Roman"/>
                        <w:sz w:val="24"/>
                      </w:rPr>
                      <w:t>dB(A)</w:t>
                    </w:r>
                    <w:r>
                      <w:rPr>
                        <w:sz w:val="24"/>
                      </w:rPr>
                      <w:t>；</w:t>
                    </w:r>
                  </w:p>
                  <w:p>
                    <w:pPr>
                      <w:spacing w:before="12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3</w:t>
                    </w:r>
                    <w:r>
                      <w:rPr>
                        <w:rFonts w:ascii="Times New Roman" w:hAnsi="Times New Roman" w:eastAsia="Times New Roman"/>
                        <w:i/>
                        <w:sz w:val="24"/>
                      </w:rPr>
                      <w:t>——</w:t>
                    </w:r>
                    <w:r>
                      <w:rPr>
                        <w:sz w:val="24"/>
                      </w:rPr>
                      <w:t>由反射等引起的修正量，</w:t>
                    </w:r>
                    <w:r>
                      <w:rPr>
                        <w:rFonts w:ascii="Times New Roman" w:hAnsi="Times New Roman" w:eastAsia="Times New Roman"/>
                        <w:sz w:val="24"/>
                      </w:rPr>
                      <w:t>dB(A)</w:t>
                    </w:r>
                    <w:r>
                      <w:rPr>
                        <w:sz w:val="24"/>
                      </w:rPr>
                      <w:t>。</w:t>
                    </w:r>
                  </w:p>
                  <w:p>
                    <w:pPr>
                      <w:spacing w:before="123"/>
                      <w:ind w:left="479" w:right="0" w:firstLine="0"/>
                      <w:jc w:val="left"/>
                      <w:rPr>
                        <w:sz w:val="24"/>
                      </w:rPr>
                    </w:pPr>
                    <w:r>
                      <w:rPr>
                        <w:sz w:val="24"/>
                      </w:rPr>
                      <w:t>b)总车流等效声级</w:t>
                    </w:r>
                  </w:p>
                  <w:p>
                    <w:pPr>
                      <w:spacing w:before="49"/>
                      <w:ind w:left="576" w:right="0" w:firstLine="0"/>
                      <w:jc w:val="left"/>
                      <w:rPr>
                        <w:rFonts w:ascii="Symbol" w:hAnsi="Symbol"/>
                        <w:sz w:val="43"/>
                      </w:rPr>
                    </w:pPr>
                    <w:r>
                      <w:rPr>
                        <w:rFonts w:ascii="Times New Roman" w:hAnsi="Times New Roman"/>
                        <w:i/>
                        <w:spacing w:val="-6"/>
                        <w:w w:val="120"/>
                        <w:position w:val="-10"/>
                        <w:sz w:val="25"/>
                      </w:rPr>
                      <w:t>L</w:t>
                    </w:r>
                    <w:r>
                      <w:rPr>
                        <w:rFonts w:ascii="Times New Roman" w:hAnsi="Times New Roman"/>
                        <w:i/>
                        <w:spacing w:val="-12"/>
                        <w:w w:val="120"/>
                        <w:position w:val="-10"/>
                        <w:sz w:val="25"/>
                      </w:rPr>
                      <w:t>e</w:t>
                    </w:r>
                    <w:r>
                      <w:rPr>
                        <w:rFonts w:ascii="Times New Roman" w:hAnsi="Times New Roman"/>
                        <w:i/>
                        <w:spacing w:val="-3"/>
                        <w:w w:val="120"/>
                        <w:position w:val="-10"/>
                        <w:sz w:val="25"/>
                      </w:rPr>
                      <w:t>q</w:t>
                    </w:r>
                    <w:r>
                      <w:rPr>
                        <w:rFonts w:ascii="Times New Roman" w:hAnsi="Times New Roman"/>
                        <w:i/>
                        <w:spacing w:val="-20"/>
                        <w:w w:val="120"/>
                        <w:position w:val="-10"/>
                        <w:sz w:val="25"/>
                      </w:rPr>
                      <w:t>(</w:t>
                    </w:r>
                    <w:r>
                      <w:rPr>
                        <w:rFonts w:ascii="Times New Roman" w:hAnsi="Times New Roman"/>
                        <w:i/>
                        <w:spacing w:val="-5"/>
                        <w:w w:val="120"/>
                        <w:position w:val="-10"/>
                        <w:sz w:val="25"/>
                      </w:rPr>
                      <w:t>T</w:t>
                    </w:r>
                    <w:r>
                      <w:rPr>
                        <w:rFonts w:ascii="Times New Roman" w:hAnsi="Times New Roman"/>
                        <w:i/>
                        <w:w w:val="120"/>
                        <w:position w:val="-10"/>
                        <w:sz w:val="25"/>
                      </w:rPr>
                      <w:t>)</w:t>
                    </w:r>
                    <w:r>
                      <w:rPr>
                        <w:rFonts w:ascii="Times New Roman" w:hAnsi="Times New Roman"/>
                        <w:i/>
                        <w:spacing w:val="6"/>
                        <w:position w:val="-10"/>
                        <w:sz w:val="25"/>
                      </w:rPr>
                      <w:t> </w:t>
                    </w:r>
                    <w:r>
                      <w:rPr>
                        <w:rFonts w:ascii="Symbol" w:hAnsi="Symbol"/>
                        <w:w w:val="120"/>
                        <w:position w:val="-10"/>
                        <w:sz w:val="25"/>
                      </w:rPr>
                      <w:t></w:t>
                    </w:r>
                    <w:r>
                      <w:rPr>
                        <w:rFonts w:ascii="Times New Roman" w:hAnsi="Times New Roman"/>
                        <w:spacing w:val="-26"/>
                        <w:position w:val="-10"/>
                        <w:sz w:val="25"/>
                      </w:rPr>
                      <w:t> </w:t>
                    </w:r>
                    <w:r>
                      <w:rPr>
                        <w:rFonts w:ascii="Times New Roman" w:hAnsi="Times New Roman"/>
                        <w:spacing w:val="-3"/>
                        <w:w w:val="120"/>
                        <w:position w:val="-10"/>
                        <w:sz w:val="25"/>
                      </w:rPr>
                      <w:t>1</w:t>
                    </w:r>
                    <w:r>
                      <w:rPr>
                        <w:rFonts w:ascii="Times New Roman" w:hAnsi="Times New Roman"/>
                        <w:w w:val="120"/>
                        <w:position w:val="-10"/>
                        <w:sz w:val="25"/>
                      </w:rPr>
                      <w:t>0</w:t>
                    </w:r>
                    <w:r>
                      <w:rPr>
                        <w:rFonts w:ascii="Times New Roman" w:hAnsi="Times New Roman"/>
                        <w:spacing w:val="-37"/>
                        <w:position w:val="-10"/>
                        <w:sz w:val="25"/>
                      </w:rPr>
                      <w:t> </w:t>
                    </w:r>
                    <w:r>
                      <w:rPr>
                        <w:rFonts w:ascii="Times New Roman" w:hAnsi="Times New Roman"/>
                        <w:spacing w:val="-3"/>
                        <w:w w:val="120"/>
                        <w:position w:val="-10"/>
                        <w:sz w:val="25"/>
                      </w:rPr>
                      <w:t>l</w:t>
                    </w:r>
                    <w:r>
                      <w:rPr>
                        <w:rFonts w:ascii="Times New Roman" w:hAnsi="Times New Roman"/>
                        <w:spacing w:val="-7"/>
                        <w:w w:val="120"/>
                        <w:position w:val="-10"/>
                        <w:sz w:val="25"/>
                      </w:rPr>
                      <w:t>g</w:t>
                    </w:r>
                    <w:r>
                      <w:rPr>
                        <w:rFonts w:ascii="Symbol" w:hAnsi="Symbol"/>
                        <w:spacing w:val="-64"/>
                        <w:w w:val="69"/>
                        <w:position w:val="-10"/>
                        <w:sz w:val="43"/>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大</w:t>
                    </w:r>
                    <w:r>
                      <w:rPr>
                        <w:spacing w:val="14"/>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中</w:t>
                    </w:r>
                    <w:r>
                      <w:rPr>
                        <w:spacing w:val="1"/>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spacing w:val="22"/>
                        <w:w w:val="125"/>
                        <w:sz w:val="14"/>
                      </w:rPr>
                      <w:t>小</w:t>
                    </w:r>
                    <w:r>
                      <w:rPr>
                        <w:rFonts w:ascii="Symbol" w:hAnsi="Symbol"/>
                        <w:w w:val="69"/>
                        <w:position w:val="-10"/>
                        <w:sz w:val="43"/>
                      </w:rPr>
                      <w:t></w:t>
                    </w:r>
                  </w:p>
                  <w:p>
                    <w:pPr>
                      <w:spacing w:before="91"/>
                      <w:ind w:left="523" w:right="0" w:firstLine="0"/>
                      <w:jc w:val="left"/>
                      <w:rPr>
                        <w:sz w:val="24"/>
                      </w:rPr>
                    </w:pPr>
                    <w:r>
                      <w:rPr>
                        <w:sz w:val="24"/>
                      </w:rPr>
                      <w:t>若预测点受多条道路影响，应叠加。 </w:t>
                    </w:r>
                  </w:p>
                  <w:p>
                    <w:pPr>
                      <w:spacing w:before="150"/>
                      <w:ind w:left="583" w:right="0" w:firstLine="0"/>
                      <w:jc w:val="left"/>
                      <w:rPr>
                        <w:rFonts w:ascii="Times New Roman" w:eastAsia="Times New Roman"/>
                        <w:i/>
                        <w:sz w:val="14"/>
                      </w:rPr>
                    </w:pPr>
                    <w:r>
                      <w:rPr>
                        <w:sz w:val="24"/>
                      </w:rPr>
                      <w:t>（</w:t>
                    </w:r>
                    <w:r>
                      <w:rPr>
                        <w:rFonts w:ascii="Times New Roman" w:eastAsia="Times New Roman"/>
                        <w:sz w:val="24"/>
                      </w:rPr>
                      <w:t>4</w:t>
                    </w:r>
                    <w:r>
                      <w:rPr>
                        <w:sz w:val="24"/>
                      </w:rPr>
                      <w:t>）单车行驶辐射噪声级 </w:t>
                    </w:r>
                    <w:r>
                      <w:rPr>
                        <w:rFonts w:ascii="Times New Roman" w:eastAsia="Times New Roman"/>
                        <w:i/>
                        <w:sz w:val="24"/>
                      </w:rPr>
                      <w:t>L</w:t>
                    </w:r>
                    <w:r>
                      <w:rPr>
                        <w:rFonts w:ascii="Times New Roman" w:eastAsia="Times New Roman"/>
                        <w:position w:val="-5"/>
                        <w:sz w:val="14"/>
                      </w:rPr>
                      <w:t>0</w:t>
                    </w:r>
                    <w:r>
                      <w:rPr>
                        <w:rFonts w:ascii="Times New Roman" w:eastAsia="Times New Roman"/>
                        <w:i/>
                        <w:position w:val="-5"/>
                        <w:sz w:val="14"/>
                      </w:rPr>
                      <w:t>i</w:t>
                    </w:r>
                  </w:p>
                  <w:p>
                    <w:pPr>
                      <w:spacing w:line="345" w:lineRule="auto" w:before="147"/>
                      <w:ind w:left="583" w:right="-14" w:firstLine="0"/>
                      <w:jc w:val="left"/>
                      <w:rPr>
                        <w:sz w:val="24"/>
                      </w:rPr>
                    </w:pPr>
                    <w:r>
                      <w:rPr>
                        <w:rFonts w:ascii="Times New Roman" w:eastAsia="Times New Roman"/>
                        <w:spacing w:val="-22"/>
                        <w:sz w:val="24"/>
                      </w:rPr>
                      <w:t>1</w:t>
                    </w:r>
                    <w:r>
                      <w:rPr>
                        <w:spacing w:val="-22"/>
                        <w:sz w:val="24"/>
                      </w:rPr>
                      <w:t>）</w:t>
                    </w:r>
                    <w:r>
                      <w:rPr>
                        <w:spacing w:val="-29"/>
                        <w:sz w:val="24"/>
                      </w:rPr>
                      <w:t>第 </w:t>
                    </w:r>
                    <w:r>
                      <w:rPr>
                        <w:rFonts w:ascii="Times New Roman" w:eastAsia="Times New Roman"/>
                        <w:sz w:val="24"/>
                      </w:rPr>
                      <w:t>i</w:t>
                    </w:r>
                    <w:r>
                      <w:rPr>
                        <w:rFonts w:ascii="Times New Roman" w:eastAsia="Times New Roman"/>
                        <w:spacing w:val="2"/>
                        <w:sz w:val="24"/>
                      </w:rPr>
                      <w:t> </w:t>
                    </w:r>
                    <w:r>
                      <w:rPr>
                        <w:spacing w:val="-7"/>
                        <w:sz w:val="24"/>
                      </w:rPr>
                      <w:t>种车型在参照点</w:t>
                    </w:r>
                    <w:r>
                      <w:rPr>
                        <w:sz w:val="24"/>
                      </w:rPr>
                      <w:t>（</w:t>
                    </w:r>
                    <w:r>
                      <w:rPr>
                        <w:rFonts w:ascii="Times New Roman" w:eastAsia="Times New Roman"/>
                        <w:sz w:val="24"/>
                      </w:rPr>
                      <w:t>7.5m</w:t>
                    </w:r>
                    <w:r>
                      <w:rPr>
                        <w:rFonts w:ascii="Times New Roman" w:eastAsia="Times New Roman"/>
                        <w:spacing w:val="2"/>
                        <w:sz w:val="24"/>
                      </w:rPr>
                      <w:t> </w:t>
                    </w:r>
                    <w:r>
                      <w:rPr>
                        <w:sz w:val="24"/>
                      </w:rPr>
                      <w:t>处</w:t>
                    </w:r>
                    <w:r>
                      <w:rPr>
                        <w:spacing w:val="-44"/>
                        <w:sz w:val="24"/>
                      </w:rPr>
                      <w:t>）</w:t>
                    </w:r>
                    <w:r>
                      <w:rPr>
                        <w:spacing w:val="-7"/>
                        <w:sz w:val="24"/>
                      </w:rPr>
                      <w:t>的平均辐射噪声级</w:t>
                    </w:r>
                    <w:r>
                      <w:rPr>
                        <w:spacing w:val="-3"/>
                        <w:sz w:val="24"/>
                      </w:rPr>
                      <w:t>（</w:t>
                    </w:r>
                    <w:r>
                      <w:rPr>
                        <w:rFonts w:ascii="Times New Roman" w:eastAsia="Times New Roman"/>
                        <w:spacing w:val="-3"/>
                        <w:sz w:val="24"/>
                      </w:rPr>
                      <w:t>dB</w:t>
                    </w:r>
                    <w:r>
                      <w:rPr>
                        <w:spacing w:val="-3"/>
                        <w:sz w:val="24"/>
                      </w:rPr>
                      <w:t>）</w:t>
                    </w:r>
                    <w:r>
                      <w:rPr>
                        <w:rFonts w:ascii="Times New Roman" w:eastAsia="Times New Roman"/>
                        <w:i/>
                        <w:spacing w:val="-3"/>
                        <w:sz w:val="24"/>
                      </w:rPr>
                      <w:t>L</w:t>
                    </w:r>
                    <w:r>
                      <w:rPr>
                        <w:rFonts w:ascii="Times New Roman" w:eastAsia="Times New Roman"/>
                        <w:spacing w:val="-3"/>
                        <w:position w:val="-5"/>
                        <w:sz w:val="14"/>
                      </w:rPr>
                      <w:t>0</w:t>
                    </w:r>
                    <w:r>
                      <w:rPr>
                        <w:rFonts w:ascii="Times New Roman" w:eastAsia="Times New Roman"/>
                        <w:i/>
                        <w:spacing w:val="-3"/>
                        <w:position w:val="-5"/>
                        <w:sz w:val="14"/>
                      </w:rPr>
                      <w:t>i</w:t>
                    </w:r>
                    <w:r>
                      <w:rPr>
                        <w:rFonts w:ascii="Times New Roman" w:eastAsia="Times New Roman"/>
                        <w:i/>
                        <w:spacing w:val="8"/>
                        <w:position w:val="-5"/>
                        <w:sz w:val="14"/>
                      </w:rPr>
                      <w:t> </w:t>
                    </w:r>
                    <w:r>
                      <w:rPr>
                        <w:sz w:val="24"/>
                      </w:rPr>
                      <w:t>按下式计算： 小型车：</w:t>
                    </w:r>
                    <w:r>
                      <w:rPr>
                        <w:rFonts w:ascii="Times New Roman" w:eastAsia="Times New Roman"/>
                        <w:i/>
                        <w:sz w:val="24"/>
                      </w:rPr>
                      <w:t>L</w:t>
                    </w:r>
                    <w:r>
                      <w:rPr>
                        <w:rFonts w:ascii="Times New Roman" w:eastAsia="Times New Roman"/>
                        <w:position w:val="-2"/>
                        <w:sz w:val="16"/>
                      </w:rPr>
                      <w:t>A,S</w:t>
                    </w:r>
                    <w:r>
                      <w:rPr>
                        <w:rFonts w:ascii="Times New Roman" w:eastAsia="Times New Roman"/>
                        <w:spacing w:val="-4"/>
                        <w:sz w:val="24"/>
                      </w:rPr>
                      <w:t>= </w:t>
                    </w:r>
                    <w:r>
                      <w:rPr>
                        <w:rFonts w:ascii="Times New Roman" w:eastAsia="Times New Roman"/>
                        <w:sz w:val="24"/>
                      </w:rPr>
                      <w:t>12.6+34.73log(</w:t>
                    </w:r>
                    <w:r>
                      <w:rPr>
                        <w:rFonts w:ascii="Times New Roman" w:eastAsia="Times New Roman"/>
                        <w:i/>
                        <w:sz w:val="24"/>
                      </w:rPr>
                      <w:t>S</w:t>
                    </w:r>
                    <w:r>
                      <w:rPr>
                        <w:rFonts w:ascii="Times New Roman" w:eastAsia="Times New Roman"/>
                        <w:position w:val="-2"/>
                        <w:sz w:val="16"/>
                      </w:rPr>
                      <w:t>S</w:t>
                    </w:r>
                    <w:r>
                      <w:rPr>
                        <w:rFonts w:ascii="Times New Roman" w:eastAsia="Times New Roman"/>
                        <w:spacing w:val="-2"/>
                        <w:sz w:val="24"/>
                      </w:rPr>
                      <w:t>) +</w:t>
                    </w:r>
                    <w:r>
                      <w:rPr>
                        <w:rFonts w:ascii="Times New Roman" w:eastAsia="Times New Roman"/>
                        <w:sz w:val="24"/>
                      </w:rPr>
                      <w:t>Delt</w:t>
                    </w:r>
                    <w:r>
                      <w:rPr>
                        <w:sz w:val="24"/>
                      </w:rPr>
                      <w:t>（纵）</w:t>
                    </w:r>
                  </w:p>
                </w:txbxContent>
              </v:textbox>
              <v:stroke dashstyle="solid"/>
              <w10:wrap type="none"/>
            </v:shape>
          </v:group>
        </w:pict>
      </w:r>
      <w:r>
        <w:rPr>
          <w:rFonts w:ascii="Symbol" w:hAnsi="Symbol"/>
          <w:sz w:val="20"/>
        </w:rPr>
      </w:r>
    </w:p>
    <w:p>
      <w:pPr>
        <w:spacing w:after="0"/>
        <w:rPr>
          <w:rFonts w:ascii="Symbol" w:hAnsi="Symbol"/>
          <w:sz w:val="20"/>
        </w:rPr>
        <w:sectPr>
          <w:pgSz w:w="11910" w:h="16850"/>
          <w:pgMar w:header="0" w:footer="1141" w:top="1440" w:bottom="1400" w:left="1580" w:right="1580"/>
        </w:sectPr>
      </w:pPr>
    </w:p>
    <w:p>
      <w:pPr>
        <w:pStyle w:val="BodyText"/>
        <w:spacing w:line="328" w:lineRule="auto" w:before="9"/>
        <w:ind w:left="698" w:right="3410"/>
      </w:pPr>
      <w:r>
        <w:rPr/>
        <w:t>中型车：</w:t>
      </w:r>
      <w:r>
        <w:rPr>
          <w:rFonts w:ascii="Times New Roman" w:eastAsia="Times New Roman"/>
          <w:i/>
        </w:rPr>
        <w:t>L</w:t>
      </w:r>
      <w:r>
        <w:rPr>
          <w:rFonts w:ascii="Times New Roman" w:eastAsia="Times New Roman"/>
          <w:position w:val="-2"/>
          <w:sz w:val="16"/>
        </w:rPr>
        <w:t>A,m </w:t>
      </w:r>
      <w:r>
        <w:rPr>
          <w:rFonts w:ascii="Times New Roman" w:eastAsia="Times New Roman"/>
        </w:rPr>
        <w:t>= 8.8+40.48log(</w:t>
      </w:r>
      <w:r>
        <w:rPr>
          <w:rFonts w:ascii="Times New Roman" w:eastAsia="Times New Roman"/>
          <w:i/>
        </w:rPr>
        <w:t>S</w:t>
      </w:r>
      <w:r>
        <w:rPr>
          <w:rFonts w:ascii="Times New Roman" w:eastAsia="Times New Roman"/>
          <w:position w:val="-2"/>
          <w:sz w:val="16"/>
        </w:rPr>
        <w:t>M</w:t>
      </w:r>
      <w:r>
        <w:rPr>
          <w:rFonts w:ascii="Times New Roman" w:eastAsia="Times New Roman"/>
        </w:rPr>
        <w:t>) +Delt</w:t>
      </w:r>
      <w:r>
        <w:rPr/>
        <w:t>（纵） 大型车：</w:t>
      </w:r>
      <w:r>
        <w:rPr>
          <w:rFonts w:ascii="Times New Roman" w:eastAsia="Times New Roman"/>
          <w:i/>
        </w:rPr>
        <w:t>L</w:t>
      </w:r>
      <w:r>
        <w:rPr>
          <w:rFonts w:ascii="Times New Roman" w:eastAsia="Times New Roman"/>
          <w:position w:val="-2"/>
          <w:sz w:val="16"/>
        </w:rPr>
        <w:t>A,L </w:t>
      </w:r>
      <w:r>
        <w:rPr>
          <w:rFonts w:ascii="Times New Roman" w:eastAsia="Times New Roman"/>
        </w:rPr>
        <w:t>= 22.0+36.32log(</w:t>
      </w:r>
      <w:r>
        <w:rPr>
          <w:rFonts w:ascii="Times New Roman" w:eastAsia="Times New Roman"/>
          <w:i/>
        </w:rPr>
        <w:t>S</w:t>
      </w:r>
      <w:r>
        <w:rPr>
          <w:rFonts w:ascii="Times New Roman" w:eastAsia="Times New Roman"/>
          <w:position w:val="-2"/>
          <w:sz w:val="16"/>
        </w:rPr>
        <w:t>L</w:t>
      </w:r>
      <w:r>
        <w:rPr>
          <w:rFonts w:ascii="Times New Roman" w:eastAsia="Times New Roman"/>
        </w:rPr>
        <w:t>)+Delt</w:t>
      </w:r>
      <w:r>
        <w:rPr/>
        <w:t>（纵）</w:t>
      </w:r>
    </w:p>
    <w:p>
      <w:pPr>
        <w:pStyle w:val="BodyText"/>
        <w:spacing w:before="17"/>
        <w:ind w:left="698"/>
        <w:jc w:val="both"/>
      </w:pPr>
      <w:r>
        <w:rPr/>
        <w:t>式中：右下角注 </w:t>
      </w:r>
      <w:r>
        <w:rPr>
          <w:rFonts w:ascii="Times New Roman" w:hAnsi="Times New Roman" w:eastAsia="Times New Roman"/>
        </w:rPr>
        <w:t>S</w:t>
      </w:r>
      <w:r>
        <w:rPr/>
        <w:t>、</w:t>
      </w:r>
      <w:r>
        <w:rPr>
          <w:rFonts w:ascii="Times New Roman" w:hAnsi="Times New Roman" w:eastAsia="Times New Roman"/>
        </w:rPr>
        <w:t>M</w:t>
      </w:r>
      <w:r>
        <w:rPr/>
        <w:t>、</w:t>
      </w:r>
      <w:r>
        <w:rPr>
          <w:rFonts w:ascii="Times New Roman" w:hAnsi="Times New Roman" w:eastAsia="Times New Roman"/>
        </w:rPr>
        <w:t>L──</w:t>
      </w:r>
      <w:r>
        <w:rPr/>
        <w:t>分别表示小、中、大型车；</w:t>
      </w:r>
    </w:p>
    <w:p>
      <w:pPr>
        <w:pStyle w:val="BodyText"/>
        <w:spacing w:before="135"/>
        <w:ind w:left="698"/>
        <w:jc w:val="both"/>
      </w:pPr>
      <w:r>
        <w:rPr>
          <w:rFonts w:ascii="Times New Roman" w:eastAsia="Times New Roman"/>
        </w:rPr>
        <w:t>2</w:t>
      </w:r>
      <w:r>
        <w:rPr/>
        <w:t>）修正量和衰减量的计算 </w:t>
      </w:r>
    </w:p>
    <w:p>
      <w:pPr>
        <w:pStyle w:val="BodyText"/>
        <w:spacing w:before="151"/>
        <w:ind w:left="650"/>
        <w:jc w:val="both"/>
      </w:pPr>
      <w:r>
        <w:rPr/>
        <w:t>①线路因素引起的修正量</w:t>
      </w:r>
      <w:r>
        <w:rPr>
          <w:rFonts w:ascii="Symbol" w:hAnsi="Symbol"/>
          <w:position w:val="4"/>
        </w:rPr>
        <w:t></w:t>
      </w:r>
      <w:r>
        <w:rPr>
          <w:rFonts w:ascii="Times New Roman" w:hAnsi="Times New Roman"/>
          <w:i/>
          <w:position w:val="4"/>
        </w:rPr>
        <w:t>L </w:t>
      </w:r>
      <w:r>
        <w:rPr>
          <w:rFonts w:ascii="Times New Roman" w:hAnsi="Times New Roman"/>
          <w:position w:val="-2"/>
          <w:sz w:val="16"/>
        </w:rPr>
        <w:t>1</w:t>
      </w:r>
      <w:r>
        <w:rPr/>
        <w:t> </w:t>
      </w:r>
    </w:p>
    <w:p>
      <w:pPr>
        <w:pStyle w:val="BodyText"/>
        <w:spacing w:before="119"/>
        <w:ind w:left="698"/>
        <w:jc w:val="both"/>
        <w:rPr>
          <w:sz w:val="12"/>
        </w:rPr>
      </w:pPr>
      <w:r>
        <w:rPr>
          <w:position w:val="2"/>
        </w:rPr>
        <w:t>公路纵坡引起的交通噪声源强修正量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坡度</w:t>
      </w:r>
    </w:p>
    <w:p>
      <w:pPr>
        <w:pStyle w:val="BodyText"/>
        <w:tabs>
          <w:tab w:pos="3292" w:val="left" w:leader="none"/>
        </w:tabs>
        <w:spacing w:line="336" w:lineRule="auto" w:before="134"/>
        <w:ind w:left="698" w:right="4259"/>
      </w:pPr>
      <w:r>
        <w:rPr>
          <w:position w:val="2"/>
        </w:rPr>
        <w:t>公路纵坡修正量</w:t>
      </w:r>
      <w:r>
        <w:rPr>
          <w:rFonts w:ascii="Cambria Math" w:hAnsi="Cambria Math" w:eastAsia="Cambria Math"/>
          <w:position w:val="2"/>
        </w:rPr>
        <w:t>△</w:t>
      </w:r>
      <w:r>
        <w:rPr>
          <w:rFonts w:ascii="Cambria Math" w:hAnsi="Cambria Math" w:eastAsia="Cambria Math"/>
          <w:spacing w:val="16"/>
          <w:position w:val="2"/>
        </w:rPr>
        <w:t> </w:t>
      </w:r>
      <w:r>
        <w:rPr>
          <w:rFonts w:ascii="Times New Roman" w:hAnsi="Times New Roman" w:eastAsia="Times New Roman"/>
          <w:position w:val="2"/>
        </w:rPr>
        <w:t>L</w:t>
      </w:r>
      <w:r>
        <w:rPr>
          <w:rFonts w:ascii="Times New Roman" w:hAnsi="Times New Roman" w:eastAsia="Times New Roman"/>
          <w:spacing w:val="-5"/>
          <w:position w:val="2"/>
        </w:rPr>
        <w:t> </w:t>
      </w:r>
      <w:r>
        <w:rPr>
          <w:sz w:val="12"/>
        </w:rPr>
        <w:t>坡度</w:t>
      </w:r>
      <w:r>
        <w:rPr>
          <w:position w:val="2"/>
        </w:rPr>
        <w:t>按下式计算： </w:t>
      </w:r>
      <w:r>
        <w:rPr/>
        <w:t>大型车：</w:t>
      </w:r>
      <w:r>
        <w:rPr>
          <w:rFonts w:ascii="Cambria Math" w:hAnsi="Cambria Math" w:eastAsia="Cambria Math"/>
        </w:rPr>
        <w:t>△</w:t>
      </w:r>
      <w:r>
        <w:rPr>
          <w:rFonts w:ascii="Cambria Math" w:hAnsi="Cambria Math" w:eastAsia="Cambria Math"/>
          <w:spacing w:val="14"/>
        </w:rPr>
        <w:t> </w:t>
      </w:r>
      <w:r>
        <w:rPr>
          <w:rFonts w:ascii="Times New Roman" w:hAnsi="Times New Roman" w:eastAsia="Times New Roman"/>
        </w:rPr>
        <w:t>L</w:t>
      </w:r>
      <w:r>
        <w:rPr>
          <w:rFonts w:ascii="Times New Roman" w:hAnsi="Times New Roman" w:eastAsia="Times New Roman"/>
          <w:spacing w:val="-6"/>
        </w:rPr>
        <w:t> </w:t>
      </w:r>
      <w:r>
        <w:rPr>
          <w:position w:val="-1"/>
          <w:sz w:val="12"/>
        </w:rPr>
        <w:t>坡度</w:t>
      </w:r>
      <w:r>
        <w:rPr>
          <w:rFonts w:ascii="Times New Roman" w:hAnsi="Times New Roman" w:eastAsia="Times New Roman"/>
          <w:position w:val="-2"/>
          <w:sz w:val="16"/>
        </w:rPr>
        <w:t>=</w:t>
      </w:r>
      <w:r>
        <w:rPr>
          <w:rFonts w:ascii="Times New Roman" w:hAnsi="Times New Roman" w:eastAsia="Times New Roman"/>
        </w:rPr>
        <w:t>98×β</w:t>
        <w:tab/>
      </w:r>
      <w:r>
        <w:rPr/>
        <w:t>（</w:t>
      </w:r>
      <w:r>
        <w:rPr>
          <w:rFonts w:ascii="Times New Roman" w:hAnsi="Times New Roman" w:eastAsia="Times New Roman"/>
        </w:rPr>
        <w:t>dB</w:t>
      </w:r>
      <w:r>
        <w:rPr/>
        <w:t>）</w:t>
      </w:r>
    </w:p>
    <w:p>
      <w:pPr>
        <w:pStyle w:val="BodyText"/>
        <w:spacing w:line="328" w:lineRule="auto" w:before="12"/>
        <w:ind w:left="698" w:right="4713"/>
        <w:jc w:val="both"/>
      </w:pPr>
      <w:r>
        <w:rPr/>
        <w:t>中型车：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73×β   </w:t>
      </w:r>
      <w:r>
        <w:rPr/>
        <w:t>（</w:t>
      </w:r>
      <w:r>
        <w:rPr>
          <w:rFonts w:ascii="Times New Roman" w:hAnsi="Times New Roman" w:eastAsia="Times New Roman"/>
        </w:rPr>
        <w:t>dB</w:t>
      </w:r>
      <w:r>
        <w:rPr/>
        <w:t>） 小型车：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50×β   </w:t>
      </w:r>
      <w:r>
        <w:rPr/>
        <w:t>（</w:t>
      </w:r>
      <w:r>
        <w:rPr>
          <w:rFonts w:ascii="Times New Roman" w:hAnsi="Times New Roman" w:eastAsia="Times New Roman"/>
        </w:rPr>
        <w:t>dB</w:t>
      </w:r>
      <w:r>
        <w:rPr/>
        <w:t>） 式中：</w:t>
      </w:r>
    </w:p>
    <w:p>
      <w:pPr>
        <w:pStyle w:val="BodyText"/>
        <w:spacing w:before="65"/>
        <w:ind w:left="698"/>
        <w:jc w:val="both"/>
      </w:pPr>
      <w:r>
        <w:rPr>
          <w:rFonts w:ascii="Times New Roman" w:hAnsi="Times New Roman" w:eastAsia="Times New Roman"/>
        </w:rPr>
        <w:t>β——</w:t>
      </w:r>
      <w:r>
        <w:rPr/>
        <w:t>公路纵坡坡度，</w:t>
      </w:r>
      <w:r>
        <w:rPr>
          <w:rFonts w:ascii="Times New Roman" w:hAnsi="Times New Roman" w:eastAsia="Times New Roman"/>
        </w:rPr>
        <w:t>%</w:t>
      </w:r>
      <w:r>
        <w:rPr/>
        <w:t>。</w:t>
      </w:r>
    </w:p>
    <w:p>
      <w:pPr>
        <w:pStyle w:val="BodyText"/>
        <w:spacing w:before="132"/>
        <w:ind w:left="698"/>
        <w:jc w:val="both"/>
        <w:rPr>
          <w:sz w:val="12"/>
        </w:rPr>
      </w:pPr>
      <w:r>
        <w:rPr>
          <w:position w:val="2"/>
        </w:rPr>
        <w:t>②公路路面引起的交通噪声源强修正量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路面</w:t>
      </w:r>
    </w:p>
    <w:p>
      <w:pPr>
        <w:pStyle w:val="BodyText"/>
        <w:spacing w:before="134"/>
        <w:ind w:left="698"/>
        <w:jc w:val="both"/>
      </w:pPr>
      <w:r>
        <w:rPr/>
        <w:t>取值按下表取值。</w:t>
      </w:r>
    </w:p>
    <w:p>
      <w:pPr>
        <w:pStyle w:val="Heading3"/>
        <w:tabs>
          <w:tab w:pos="2503" w:val="left" w:leader="none"/>
          <w:tab w:pos="5755" w:val="left" w:leader="none"/>
        </w:tabs>
        <w:spacing w:before="151"/>
        <w:ind w:left="1641"/>
        <w:rPr>
          <w:rFonts w:ascii="Times New Roman" w:eastAsia="Times New Roman"/>
        </w:rPr>
      </w:pPr>
      <w:r>
        <w:rPr/>
        <w:t>表</w:t>
      </w:r>
      <w:r>
        <w:rPr>
          <w:spacing w:val="-60"/>
        </w:rPr>
        <w:t> </w:t>
      </w:r>
      <w:r>
        <w:rPr>
          <w:rFonts w:ascii="Times New Roman" w:eastAsia="Times New Roman"/>
        </w:rPr>
        <w:t>7-3</w:t>
        <w:tab/>
      </w:r>
      <w:r>
        <w:rPr/>
        <w:t>常见路面噪声修正值</w:t>
        <w:tab/>
        <w:t>单位：</w:t>
      </w:r>
      <w:r>
        <w:rPr>
          <w:rFonts w:ascii="Times New Roman" w:eastAsia="Times New Roman"/>
        </w:rPr>
        <w:t>dB(A)</w:t>
      </w:r>
    </w:p>
    <w:p>
      <w:pPr>
        <w:pStyle w:val="BodyText"/>
        <w:spacing w:before="3" w:after="1"/>
        <w:rPr>
          <w:rFonts w:ascii="Times New Roman"/>
          <w:b/>
          <w:sz w:val="15"/>
        </w:rPr>
      </w:pPr>
    </w:p>
    <w:tbl>
      <w:tblPr>
        <w:tblW w:w="0" w:type="auto"/>
        <w:jc w:val="left"/>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96"/>
        <w:gridCol w:w="2208"/>
        <w:gridCol w:w="2002"/>
        <w:gridCol w:w="2000"/>
      </w:tblGrid>
      <w:tr>
        <w:trPr>
          <w:trHeight w:val="350" w:hRule="exact"/>
        </w:trPr>
        <w:tc>
          <w:tcPr>
            <w:tcW w:w="2096" w:type="dxa"/>
            <w:vMerge w:val="restart"/>
          </w:tcPr>
          <w:p>
            <w:pPr>
              <w:pStyle w:val="TableParagraph"/>
              <w:spacing w:before="9"/>
              <w:jc w:val="left"/>
              <w:rPr>
                <w:rFonts w:ascii="Times New Roman"/>
                <w:b/>
                <w:sz w:val="15"/>
              </w:rPr>
            </w:pPr>
          </w:p>
          <w:p>
            <w:pPr>
              <w:pStyle w:val="TableParagraph"/>
              <w:ind w:left="604"/>
              <w:jc w:val="left"/>
              <w:rPr>
                <w:sz w:val="21"/>
              </w:rPr>
            </w:pPr>
            <w:r>
              <w:rPr>
                <w:sz w:val="21"/>
              </w:rPr>
              <w:t>路面类型</w:t>
            </w:r>
          </w:p>
        </w:tc>
        <w:tc>
          <w:tcPr>
            <w:tcW w:w="6210" w:type="dxa"/>
            <w:gridSpan w:val="3"/>
          </w:tcPr>
          <w:p>
            <w:pPr>
              <w:pStyle w:val="TableParagraph"/>
              <w:spacing w:before="6"/>
              <w:ind w:left="1864"/>
              <w:jc w:val="left"/>
              <w:rPr>
                <w:rFonts w:ascii="Times New Roman" w:eastAsia="Times New Roman"/>
                <w:sz w:val="21"/>
              </w:rPr>
            </w:pPr>
            <w:r>
              <w:rPr>
                <w:sz w:val="21"/>
              </w:rPr>
              <w:t>不同行驶速度修正量 </w:t>
            </w:r>
            <w:r>
              <w:rPr>
                <w:rFonts w:ascii="Times New Roman" w:eastAsia="Times New Roman"/>
                <w:sz w:val="21"/>
              </w:rPr>
              <w:t>km/h</w:t>
            </w:r>
          </w:p>
        </w:tc>
      </w:tr>
      <w:tr>
        <w:trPr>
          <w:trHeight w:val="348" w:hRule="exact"/>
        </w:trPr>
        <w:tc>
          <w:tcPr>
            <w:tcW w:w="2096" w:type="dxa"/>
            <w:vMerge/>
          </w:tcPr>
          <w:p>
            <w:pPr/>
          </w:p>
        </w:tc>
        <w:tc>
          <w:tcPr>
            <w:tcW w:w="2208" w:type="dxa"/>
          </w:tcPr>
          <w:p>
            <w:pPr>
              <w:pStyle w:val="TableParagraph"/>
              <w:spacing w:before="56"/>
              <w:ind w:left="945" w:right="947"/>
              <w:rPr>
                <w:rFonts w:ascii="Times New Roman"/>
                <w:sz w:val="21"/>
              </w:rPr>
            </w:pPr>
            <w:r>
              <w:rPr>
                <w:rFonts w:ascii="Times New Roman"/>
                <w:sz w:val="21"/>
              </w:rPr>
              <w:t>30</w:t>
            </w:r>
          </w:p>
        </w:tc>
        <w:tc>
          <w:tcPr>
            <w:tcW w:w="2002" w:type="dxa"/>
          </w:tcPr>
          <w:p>
            <w:pPr>
              <w:pStyle w:val="TableParagraph"/>
              <w:spacing w:before="56"/>
              <w:ind w:left="844" w:right="844"/>
              <w:rPr>
                <w:rFonts w:ascii="Times New Roman"/>
                <w:sz w:val="21"/>
              </w:rPr>
            </w:pPr>
            <w:r>
              <w:rPr>
                <w:rFonts w:ascii="Times New Roman"/>
                <w:sz w:val="21"/>
              </w:rPr>
              <w:t>40</w:t>
            </w:r>
          </w:p>
        </w:tc>
        <w:tc>
          <w:tcPr>
            <w:tcW w:w="2000" w:type="dxa"/>
          </w:tcPr>
          <w:p>
            <w:pPr>
              <w:pStyle w:val="TableParagraph"/>
              <w:spacing w:before="56"/>
              <w:ind w:left="809" w:right="814"/>
              <w:rPr>
                <w:rFonts w:ascii="Times New Roman" w:hAnsi="Times New Roman"/>
                <w:sz w:val="21"/>
              </w:rPr>
            </w:pPr>
            <w:r>
              <w:rPr>
                <w:rFonts w:ascii="Times New Roman" w:hAnsi="Times New Roman"/>
                <w:sz w:val="21"/>
              </w:rPr>
              <w:t>≥50</w:t>
            </w:r>
          </w:p>
        </w:tc>
      </w:tr>
      <w:tr>
        <w:trPr>
          <w:trHeight w:val="350" w:hRule="exact"/>
        </w:trPr>
        <w:tc>
          <w:tcPr>
            <w:tcW w:w="2096" w:type="dxa"/>
          </w:tcPr>
          <w:p>
            <w:pPr>
              <w:pStyle w:val="TableParagraph"/>
              <w:spacing w:before="9"/>
              <w:ind w:left="496"/>
              <w:jc w:val="left"/>
              <w:rPr>
                <w:sz w:val="21"/>
              </w:rPr>
            </w:pPr>
            <w:r>
              <w:rPr>
                <w:sz w:val="21"/>
              </w:rPr>
              <w:t>沥青混凝土</w:t>
            </w:r>
          </w:p>
        </w:tc>
        <w:tc>
          <w:tcPr>
            <w:tcW w:w="2208" w:type="dxa"/>
          </w:tcPr>
          <w:p>
            <w:pPr>
              <w:pStyle w:val="TableParagraph"/>
              <w:spacing w:before="58"/>
              <w:ind w:right="7"/>
              <w:rPr>
                <w:rFonts w:ascii="Times New Roman"/>
                <w:sz w:val="21"/>
              </w:rPr>
            </w:pPr>
            <w:r>
              <w:rPr>
                <w:rFonts w:ascii="Times New Roman"/>
                <w:w w:val="100"/>
                <w:sz w:val="21"/>
              </w:rPr>
              <w:t>0</w:t>
            </w:r>
          </w:p>
        </w:tc>
        <w:tc>
          <w:tcPr>
            <w:tcW w:w="2002" w:type="dxa"/>
          </w:tcPr>
          <w:p>
            <w:pPr>
              <w:pStyle w:val="TableParagraph"/>
              <w:spacing w:before="58"/>
              <w:ind w:right="2"/>
              <w:rPr>
                <w:rFonts w:ascii="Times New Roman"/>
                <w:sz w:val="21"/>
              </w:rPr>
            </w:pPr>
            <w:r>
              <w:rPr>
                <w:rFonts w:ascii="Times New Roman"/>
                <w:w w:val="100"/>
                <w:sz w:val="21"/>
              </w:rPr>
              <w:t>0</w:t>
            </w:r>
          </w:p>
        </w:tc>
        <w:tc>
          <w:tcPr>
            <w:tcW w:w="2000" w:type="dxa"/>
          </w:tcPr>
          <w:p>
            <w:pPr>
              <w:pStyle w:val="TableParagraph"/>
              <w:spacing w:before="58"/>
              <w:ind w:right="4"/>
              <w:rPr>
                <w:rFonts w:ascii="Times New Roman"/>
                <w:sz w:val="21"/>
              </w:rPr>
            </w:pPr>
            <w:r>
              <w:rPr>
                <w:rFonts w:ascii="Times New Roman"/>
                <w:w w:val="100"/>
                <w:sz w:val="21"/>
              </w:rPr>
              <w:t>0</w:t>
            </w:r>
          </w:p>
        </w:tc>
      </w:tr>
      <w:tr>
        <w:trPr>
          <w:trHeight w:val="350" w:hRule="exact"/>
        </w:trPr>
        <w:tc>
          <w:tcPr>
            <w:tcW w:w="2096" w:type="dxa"/>
          </w:tcPr>
          <w:p>
            <w:pPr>
              <w:pStyle w:val="TableParagraph"/>
              <w:spacing w:before="9"/>
              <w:ind w:left="496"/>
              <w:jc w:val="left"/>
              <w:rPr>
                <w:sz w:val="21"/>
              </w:rPr>
            </w:pPr>
            <w:r>
              <w:rPr>
                <w:sz w:val="21"/>
              </w:rPr>
              <w:t>水泥混凝土</w:t>
            </w:r>
          </w:p>
        </w:tc>
        <w:tc>
          <w:tcPr>
            <w:tcW w:w="2208" w:type="dxa"/>
          </w:tcPr>
          <w:p>
            <w:pPr>
              <w:pStyle w:val="TableParagraph"/>
              <w:spacing w:before="58"/>
              <w:ind w:left="945" w:right="950"/>
              <w:rPr>
                <w:rFonts w:ascii="Times New Roman"/>
                <w:sz w:val="21"/>
              </w:rPr>
            </w:pPr>
            <w:r>
              <w:rPr>
                <w:rFonts w:ascii="Times New Roman"/>
                <w:sz w:val="21"/>
              </w:rPr>
              <w:t>1.0</w:t>
            </w:r>
          </w:p>
        </w:tc>
        <w:tc>
          <w:tcPr>
            <w:tcW w:w="2002" w:type="dxa"/>
          </w:tcPr>
          <w:p>
            <w:pPr>
              <w:pStyle w:val="TableParagraph"/>
              <w:spacing w:before="58"/>
              <w:ind w:left="844" w:right="844"/>
              <w:rPr>
                <w:rFonts w:ascii="Times New Roman"/>
                <w:sz w:val="21"/>
              </w:rPr>
            </w:pPr>
            <w:r>
              <w:rPr>
                <w:rFonts w:ascii="Times New Roman"/>
                <w:sz w:val="21"/>
              </w:rPr>
              <w:t>1.5</w:t>
            </w:r>
          </w:p>
        </w:tc>
        <w:tc>
          <w:tcPr>
            <w:tcW w:w="2000" w:type="dxa"/>
          </w:tcPr>
          <w:p>
            <w:pPr>
              <w:pStyle w:val="TableParagraph"/>
              <w:spacing w:before="58"/>
              <w:ind w:left="807" w:right="814"/>
              <w:rPr>
                <w:rFonts w:ascii="Times New Roman"/>
                <w:sz w:val="21"/>
              </w:rPr>
            </w:pPr>
            <w:r>
              <w:rPr>
                <w:rFonts w:ascii="Times New Roman"/>
                <w:sz w:val="21"/>
              </w:rPr>
              <w:t>2.0</w:t>
            </w:r>
          </w:p>
        </w:tc>
      </w:tr>
    </w:tbl>
    <w:p>
      <w:pPr>
        <w:spacing w:line="325" w:lineRule="exact" w:before="0"/>
        <w:ind w:left="640" w:right="0" w:firstLine="0"/>
        <w:jc w:val="both"/>
        <w:rPr>
          <w:sz w:val="21"/>
        </w:rPr>
      </w:pPr>
      <w:r>
        <w:rPr>
          <w:b/>
          <w:sz w:val="21"/>
        </w:rPr>
        <w:t>注</w:t>
      </w:r>
      <w:r>
        <w:rPr>
          <w:sz w:val="21"/>
        </w:rPr>
        <w:t>：表中修正量为</w:t>
      </w:r>
      <w:r>
        <w:rPr>
          <w:rFonts w:ascii="Times New Roman" w:eastAsia="Times New Roman"/>
          <w:sz w:val="24"/>
        </w:rPr>
        <w:t>(</w:t>
      </w:r>
      <w:r>
        <w:rPr>
          <w:rFonts w:ascii="Times New Roman" w:eastAsia="Times New Roman"/>
          <w:i/>
          <w:sz w:val="24"/>
        </w:rPr>
        <w:t>L</w:t>
      </w:r>
      <w:r>
        <w:rPr>
          <w:rFonts w:ascii="Times New Roman" w:eastAsia="Times New Roman"/>
          <w:i/>
          <w:position w:val="-5"/>
          <w:sz w:val="14"/>
        </w:rPr>
        <w:t>oE </w:t>
      </w:r>
      <w:r>
        <w:rPr>
          <w:rFonts w:ascii="Times New Roman" w:eastAsia="Times New Roman"/>
          <w:sz w:val="24"/>
        </w:rPr>
        <w:t>)</w:t>
      </w:r>
      <w:r>
        <w:rPr>
          <w:rFonts w:ascii="Times New Roman" w:eastAsia="Times New Roman"/>
          <w:i/>
          <w:position w:val="-5"/>
          <w:sz w:val="14"/>
        </w:rPr>
        <w:t>i </w:t>
      </w:r>
      <w:r>
        <w:rPr>
          <w:sz w:val="21"/>
        </w:rPr>
        <w:t>在沥青混凝土路面测得结果的修正。</w:t>
      </w:r>
    </w:p>
    <w:p>
      <w:pPr>
        <w:pStyle w:val="BodyText"/>
        <w:spacing w:line="326" w:lineRule="exact"/>
        <w:ind w:left="698"/>
        <w:jc w:val="both"/>
        <w:rPr>
          <w:rFonts w:ascii="Times New Roman" w:hAnsi="Times New Roman" w:eastAsia="Times New Roman"/>
        </w:rPr>
      </w:pPr>
      <w:r>
        <w:rPr/>
        <w:t>③地面覆盖物吸收衰减因子 </w:t>
      </w:r>
      <w:r>
        <w:rPr>
          <w:rFonts w:ascii="Times New Roman" w:hAnsi="Times New Roman" w:eastAsia="Times New Roman"/>
        </w:rPr>
        <w:t>α</w:t>
      </w:r>
    </w:p>
    <w:p>
      <w:pPr>
        <w:pStyle w:val="BodyText"/>
        <w:spacing w:line="355" w:lineRule="auto" w:before="135"/>
        <w:ind w:left="218" w:right="133" w:firstLine="479"/>
      </w:pPr>
      <w:r>
        <w:rPr/>
        <w:t>声波在传播过程中受地面覆盖物的吸收产生衰减，公路两侧主要为农田，土质松散，取 </w:t>
      </w:r>
      <w:r>
        <w:rPr>
          <w:rFonts w:ascii="Times New Roman" w:hAnsi="Times New Roman" w:eastAsia="Times New Roman"/>
        </w:rPr>
        <w:t>α </w:t>
      </w:r>
      <w:r>
        <w:rPr/>
        <w:t>值为 </w:t>
      </w:r>
      <w:r>
        <w:rPr>
          <w:rFonts w:ascii="Times New Roman" w:hAnsi="Times New Roman" w:eastAsia="Times New Roman"/>
        </w:rPr>
        <w:t>0.5</w:t>
      </w:r>
      <w:r>
        <w:rPr/>
        <w:t>。</w:t>
      </w:r>
    </w:p>
    <w:p>
      <w:pPr>
        <w:spacing w:before="26"/>
        <w:ind w:left="650" w:right="0" w:firstLine="0"/>
        <w:jc w:val="both"/>
        <w:rPr>
          <w:sz w:val="24"/>
        </w:rPr>
      </w:pPr>
      <w:r>
        <w:rPr>
          <w:sz w:val="21"/>
        </w:rPr>
        <w:t>④</w:t>
      </w:r>
      <w:r>
        <w:rPr>
          <w:sz w:val="24"/>
        </w:rPr>
        <w:t>声波传播途径引起的衰减量</w:t>
      </w:r>
      <w:r>
        <w:rPr>
          <w:rFonts w:ascii="Symbol" w:hAnsi="Symbol"/>
          <w:position w:val="4"/>
          <w:sz w:val="24"/>
        </w:rPr>
        <w:t></w:t>
      </w:r>
      <w:r>
        <w:rPr>
          <w:rFonts w:ascii="Times New Roman" w:hAnsi="Times New Roman"/>
          <w:i/>
          <w:position w:val="4"/>
          <w:sz w:val="24"/>
        </w:rPr>
        <w:t>L </w:t>
      </w:r>
      <w:r>
        <w:rPr>
          <w:rFonts w:ascii="Times New Roman" w:hAnsi="Times New Roman"/>
          <w:position w:val="-2"/>
          <w:sz w:val="16"/>
        </w:rPr>
        <w:t>2</w:t>
      </w:r>
      <w:r>
        <w:rPr>
          <w:sz w:val="24"/>
        </w:rPr>
        <w:t> </w:t>
      </w:r>
    </w:p>
    <w:p>
      <w:pPr>
        <w:spacing w:before="120"/>
        <w:ind w:left="650" w:right="0" w:firstLine="0"/>
        <w:jc w:val="both"/>
        <w:rPr>
          <w:sz w:val="24"/>
        </w:rPr>
      </w:pPr>
      <w:r>
        <w:rPr>
          <w:rFonts w:ascii="Times New Roman" w:eastAsia="Times New Roman"/>
          <w:sz w:val="24"/>
        </w:rPr>
        <w:t>a)</w:t>
      </w:r>
      <w:r>
        <w:rPr>
          <w:sz w:val="24"/>
        </w:rPr>
        <w:t>障碍物衰减量</w:t>
      </w:r>
      <w:r>
        <w:rPr>
          <w:rFonts w:ascii="Times New Roman" w:eastAsia="Times New Roman"/>
          <w:sz w:val="24"/>
        </w:rPr>
        <w:t>A</w:t>
      </w:r>
      <w:r>
        <w:rPr>
          <w:rFonts w:ascii="Times New Roman" w:eastAsia="Times New Roman"/>
          <w:position w:val="-2"/>
          <w:sz w:val="16"/>
        </w:rPr>
        <w:t>bar</w:t>
      </w:r>
      <w:r>
        <w:rPr>
          <w:sz w:val="24"/>
        </w:rPr>
        <w:t> </w:t>
      </w:r>
    </w:p>
    <w:p>
      <w:pPr>
        <w:pStyle w:val="BodyText"/>
        <w:spacing w:before="120"/>
        <w:ind w:left="1070"/>
      </w:pPr>
      <w:r>
        <w:rPr/>
        <w:t>①声屏障衰减量（</w:t>
      </w:r>
      <w:r>
        <w:rPr>
          <w:rFonts w:ascii="Times New Roman" w:hAnsi="Times New Roman" w:eastAsia="Times New Roman"/>
        </w:rPr>
        <w:t>A</w:t>
      </w:r>
      <w:r>
        <w:rPr>
          <w:rFonts w:ascii="Times New Roman" w:hAnsi="Times New Roman" w:eastAsia="Times New Roman"/>
          <w:position w:val="-2"/>
          <w:sz w:val="16"/>
        </w:rPr>
        <w:t>bar</w:t>
      </w:r>
      <w:r>
        <w:rPr/>
        <w:t>）计算 </w:t>
      </w:r>
    </w:p>
    <w:p>
      <w:pPr>
        <w:spacing w:after="0"/>
        <w:sectPr>
          <w:pgSz w:w="11910" w:h="16850"/>
          <w:pgMar w:header="0" w:footer="1141" w:top="1400" w:bottom="1400" w:left="1580" w:right="1560"/>
        </w:sectPr>
      </w:pPr>
    </w:p>
    <w:p>
      <w:pPr>
        <w:tabs>
          <w:tab w:pos="456" w:val="left" w:leader="none"/>
        </w:tabs>
        <w:spacing w:line="217" w:lineRule="exact" w:before="182"/>
        <w:ind w:left="0" w:right="362" w:firstLine="0"/>
        <w:jc w:val="right"/>
        <w:rPr>
          <w:rFonts w:ascii="Symbol" w:hAnsi="Symbol"/>
          <w:sz w:val="19"/>
        </w:rPr>
      </w:pPr>
      <w:r>
        <w:rPr>
          <w:rFonts w:ascii="Symbol" w:hAnsi="Symbol"/>
          <w:position w:val="2"/>
          <w:sz w:val="19"/>
        </w:rPr>
        <w:t></w:t>
      </w:r>
      <w:r>
        <w:rPr>
          <w:rFonts w:ascii="Times New Roman" w:hAnsi="Times New Roman"/>
          <w:position w:val="2"/>
          <w:sz w:val="19"/>
        </w:rPr>
        <w:tab/>
      </w:r>
      <w:r>
        <w:rPr>
          <w:rFonts w:ascii="Symbol" w:hAnsi="Symbol"/>
          <w:spacing w:val="-1"/>
          <w:sz w:val="19"/>
        </w:rPr>
        <w:t></w:t>
      </w:r>
    </w:p>
    <w:p>
      <w:pPr>
        <w:tabs>
          <w:tab w:pos="456" w:val="left" w:leader="none"/>
        </w:tabs>
        <w:spacing w:line="150" w:lineRule="exact" w:before="0"/>
        <w:ind w:left="0" w:right="0" w:firstLine="0"/>
        <w:jc w:val="right"/>
        <w:rPr>
          <w:rFonts w:ascii="Symbol" w:hAnsi="Symbol"/>
          <w:i/>
          <w:sz w:val="20"/>
        </w:rPr>
      </w:pPr>
      <w:r>
        <w:rPr/>
        <w:pict>
          <v:group style="position:absolute;margin-left:194.662323pt;margin-top:3.847209pt;width:62.75pt;height:73.55pt;mso-position-horizontal-relative:page;mso-position-vertical-relative:paragraph;z-index:-197368" coordorigin="3893,77" coordsize="1255,1471">
            <v:line style="position:absolute" from="4313,256" to="4337,242" stroked="true" strokeweight=".385593pt" strokecolor="#000000">
              <v:stroke dashstyle="solid"/>
            </v:line>
            <v:line style="position:absolute" from="4337,246" to="4372,335" stroked="true" strokeweight=".790539pt" strokecolor="#000000">
              <v:stroke dashstyle="solid"/>
            </v:line>
            <v:shape style="position:absolute;left:1922;top:1581;width:724;height:811" coordorigin="1922,1581" coordsize="724,811" path="m4376,335l4422,81m4422,81l4946,81m4535,720l4559,706e" filled="false" stroked="true" strokeweight=".385607pt" strokecolor="#000000">
              <v:path arrowok="t"/>
              <v:stroke dashstyle="solid"/>
            </v:shape>
            <v:line style="position:absolute" from="4559,710" to="4594,894" stroked="true" strokeweight=".79055pt" strokecolor="#000000">
              <v:stroke dashstyle="solid"/>
            </v:line>
            <v:shape style="position:absolute;left:1840;top:1984;width:423;height:946" coordorigin="1840,1984" coordsize="423,946" path="m4598,894l4644,398m4311,1143l4335,1129e" filled="false" stroked="true" strokeweight=".385607pt" strokecolor="#000000">
              <v:path arrowok="t"/>
              <v:stroke dashstyle="solid"/>
            </v:shape>
            <v:line style="position:absolute" from="4335,1133" to="4370,1222" stroked="true" strokeweight=".790539pt" strokecolor="#000000">
              <v:stroke dashstyle="solid"/>
            </v:line>
            <v:shape style="position:absolute;left:1920;top:2707;width:133;height:626" coordorigin="1920,2707" coordsize="133,626" path="m4375,1222l4421,968m4454,1461l4479,1447e" filled="false" stroked="true" strokeweight=".385607pt" strokecolor="#000000">
              <v:path arrowok="t"/>
              <v:stroke dashstyle="solid"/>
            </v:shape>
            <v:line style="position:absolute" from="4479,1451" to="4514,1539" stroked="true" strokeweight=".790539pt" strokecolor="#000000">
              <v:stroke dashstyle="solid"/>
            </v:line>
            <v:shape style="position:absolute;left:1314;top:3072;width:1583;height:361" coordorigin="1314,3072" coordsize="1583,361" path="m4518,1539l4564,1285m4564,1285l5088,1285m3897,1255l5144,1255e" filled="false" stroked="true" strokeweight=".385607pt" strokecolor="#000000">
              <v:path arrowok="t"/>
              <v:stroke dashstyle="solid"/>
            </v:shape>
            <w10:wrap type="non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w:t>
      </w:r>
      <w:r>
        <w:rPr>
          <w:rFonts w:ascii="Times New Roman" w:hAnsi="Times New Roman"/>
          <w:spacing w:val="32"/>
          <w:position w:val="11"/>
          <w:sz w:val="19"/>
        </w:rPr>
        <w:t> </w:t>
      </w:r>
      <w:r>
        <w:rPr>
          <w:rFonts w:ascii="Times New Roman" w:hAnsi="Times New Roman"/>
          <w:spacing w:val="-8"/>
          <w:sz w:val="19"/>
        </w:rPr>
        <w:t>3</w:t>
      </w:r>
      <w:r>
        <w:rPr>
          <w:rFonts w:ascii="Symbol" w:hAnsi="Symbol"/>
          <w:i/>
          <w:spacing w:val="-8"/>
          <w:sz w:val="20"/>
        </w:rPr>
        <w:t></w:t>
      </w:r>
    </w:p>
    <w:p>
      <w:pPr>
        <w:pStyle w:val="BodyText"/>
        <w:spacing w:before="6"/>
        <w:rPr>
          <w:rFonts w:ascii="Symbol" w:hAnsi="Symbol"/>
          <w:i/>
          <w:sz w:val="16"/>
        </w:rPr>
      </w:pPr>
      <w:r>
        <w:rPr/>
        <w:br w:type="column"/>
      </w:r>
      <w:r>
        <w:rPr>
          <w:rFonts w:ascii="Symbol" w:hAnsi="Symbol"/>
          <w:i/>
          <w:sz w:val="16"/>
        </w:rPr>
      </w:r>
    </w:p>
    <w:p>
      <w:pPr>
        <w:spacing w:line="207" w:lineRule="exact" w:before="0"/>
        <w:ind w:left="0" w:right="0" w:firstLine="0"/>
        <w:jc w:val="right"/>
        <w:rPr>
          <w:rFonts w:ascii="Symbol" w:hAnsi="Symbol"/>
          <w:sz w:val="19"/>
        </w:rPr>
      </w:pPr>
      <w:r>
        <w:rPr>
          <w:rFonts w:ascii="Symbol" w:hAnsi="Symbol"/>
          <w:w w:val="99"/>
          <w:sz w:val="19"/>
        </w:rPr>
        <w:t></w:t>
      </w:r>
    </w:p>
    <w:p>
      <w:pPr>
        <w:tabs>
          <w:tab w:pos="708" w:val="left" w:leader="none"/>
        </w:tabs>
        <w:spacing w:line="140" w:lineRule="exact" w:before="0"/>
        <w:ind w:left="0" w:right="0" w:firstLine="0"/>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2"/>
          <w:sz w:val="19"/>
        </w:rPr>
        <w:t> </w:t>
      </w:r>
      <w:r>
        <w:rPr>
          <w:rFonts w:ascii="Times New Roman" w:hAnsi="Times New Roman"/>
          <w:i/>
          <w:sz w:val="19"/>
        </w:rPr>
        <w:t>t</w:t>
      </w:r>
      <w:r>
        <w:rPr>
          <w:rFonts w:ascii="Times New Roman" w:hAnsi="Times New Roman"/>
          <w:i/>
          <w:spacing w:val="-26"/>
          <w:sz w:val="19"/>
        </w:rPr>
        <w:t> </w:t>
      </w:r>
      <w:r>
        <w:rPr>
          <w:rFonts w:ascii="Times New Roman" w:hAnsi="Times New Roman"/>
          <w:position w:val="8"/>
          <w:sz w:val="11"/>
        </w:rPr>
        <w:t>2</w:t>
      </w:r>
      <w:r>
        <w:rPr>
          <w:rFonts w:ascii="Times New Roman" w:hAnsi="Times New Roman"/>
          <w:spacing w:val="-5"/>
          <w:position w:val="8"/>
          <w:sz w:val="11"/>
        </w:rPr>
        <w:t> </w:t>
      </w:r>
      <w:r>
        <w:rPr>
          <w:rFonts w:ascii="Times New Roman" w:hAnsi="Times New Roman"/>
          <w:sz w:val="19"/>
        </w:rPr>
        <w:t>)</w:t>
        <w:tab/>
      </w:r>
      <w:r>
        <w:rPr>
          <w:rFonts w:ascii="Symbol" w:hAnsi="Symbol"/>
          <w:w w:val="95"/>
          <w:position w:val="11"/>
          <w:sz w:val="19"/>
        </w:rPr>
        <w:t></w:t>
      </w:r>
    </w:p>
    <w:p>
      <w:pPr>
        <w:pStyle w:val="BodyText"/>
        <w:rPr>
          <w:rFonts w:ascii="Symbol" w:hAnsi="Symbol"/>
        </w:rPr>
      </w:pPr>
      <w:r>
        <w:rPr/>
        <w:br w:type="column"/>
      </w:r>
      <w:r>
        <w:rPr>
          <w:rFonts w:ascii="Symbol" w:hAnsi="Symbol"/>
        </w:rPr>
      </w:r>
    </w:p>
    <w:p>
      <w:pPr>
        <w:spacing w:line="54" w:lineRule="exact" w:before="202"/>
        <w:ind w:left="292" w:right="0" w:firstLine="0"/>
        <w:jc w:val="left"/>
        <w:rPr>
          <w:rFonts w:ascii="Symbol" w:hAnsi="Symbol"/>
          <w:i/>
          <w:sz w:val="20"/>
        </w:rPr>
      </w:pPr>
      <w:r>
        <w:rPr>
          <w:rFonts w:ascii="Times New Roman" w:hAnsi="Times New Roman"/>
          <w:sz w:val="19"/>
        </w:rPr>
        <w:t>40 </w:t>
      </w:r>
      <w:r>
        <w:rPr>
          <w:rFonts w:ascii="Times New Roman" w:hAnsi="Times New Roman"/>
          <w:i/>
          <w:sz w:val="19"/>
        </w:rPr>
        <w:t>f</w:t>
      </w:r>
      <w:r>
        <w:rPr>
          <w:rFonts w:ascii="Symbol" w:hAnsi="Symbol"/>
          <w:i/>
          <w:sz w:val="20"/>
        </w:rPr>
        <w:t></w:t>
      </w:r>
    </w:p>
    <w:p>
      <w:pPr>
        <w:spacing w:after="0" w:line="54" w:lineRule="exact"/>
        <w:jc w:val="left"/>
        <w:rPr>
          <w:rFonts w:ascii="Symbol" w:hAnsi="Symbol"/>
          <w:sz w:val="20"/>
        </w:rPr>
        <w:sectPr>
          <w:type w:val="continuous"/>
          <w:pgSz w:w="11910" w:h="16850"/>
          <w:pgMar w:top="1600" w:bottom="280" w:left="1580" w:right="1560"/>
          <w:cols w:num="3" w:equalWidth="0">
            <w:col w:w="2694" w:space="40"/>
            <w:col w:w="900" w:space="40"/>
            <w:col w:w="5096"/>
          </w:cols>
        </w:sectPr>
      </w:pPr>
    </w:p>
    <w:p>
      <w:pPr>
        <w:tabs>
          <w:tab w:pos="3560" w:val="left" w:leader="none"/>
        </w:tabs>
        <w:spacing w:line="177" w:lineRule="exact" w:before="4"/>
        <w:ind w:left="1800" w:right="0" w:firstLine="0"/>
        <w:jc w:val="left"/>
        <w:rPr>
          <w:rFonts w:ascii="Symbol" w:hAnsi="Symbol"/>
          <w:sz w:val="19"/>
        </w:rPr>
      </w:pPr>
      <w:r>
        <w:rPr>
          <w:rFonts w:ascii="Symbol" w:hAnsi="Symbol"/>
          <w:spacing w:val="5"/>
          <w:position w:val="7"/>
          <w:sz w:val="19"/>
        </w:rPr>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w:t>
        <w:tab/>
      </w:r>
      <w:r>
        <w:rPr>
          <w:rFonts w:ascii="Symbol" w:hAnsi="Symbol"/>
          <w:spacing w:val="5"/>
          <w:position w:val="6"/>
          <w:sz w:val="19"/>
        </w:rPr>
        <w:t></w:t>
      </w:r>
      <w:r>
        <w:rPr>
          <w:rFonts w:ascii="Times New Roman" w:hAnsi="Times New Roman"/>
          <w:spacing w:val="5"/>
          <w:sz w:val="19"/>
        </w:rPr>
        <w:t>,</w:t>
      </w:r>
      <w:r>
        <w:rPr>
          <w:rFonts w:ascii="Times New Roman" w:hAnsi="Times New Roman"/>
          <w:i/>
          <w:spacing w:val="5"/>
          <w:sz w:val="19"/>
        </w:rPr>
        <w:t>t</w:t>
      </w:r>
      <w:r>
        <w:rPr>
          <w:rFonts w:ascii="Times New Roman" w:hAnsi="Times New Roman"/>
          <w:i/>
          <w:spacing w:val="6"/>
          <w:sz w:val="19"/>
        </w:rPr>
        <w:t> </w:t>
      </w:r>
      <w:r>
        <w:rPr>
          <w:rFonts w:ascii="Symbol" w:hAnsi="Symbol"/>
          <w:sz w:val="19"/>
        </w:rPr>
        <w:t></w:t>
      </w:r>
    </w:p>
    <w:p>
      <w:pPr>
        <w:spacing w:line="107" w:lineRule="exact" w:before="74"/>
        <w:ind w:left="47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pStyle w:val="BodyText"/>
        <w:spacing w:before="9"/>
        <w:rPr>
          <w:rFonts w:ascii="Times New Roman"/>
          <w:i/>
          <w:sz w:val="2"/>
        </w:rPr>
      </w:pPr>
    </w:p>
    <w:p>
      <w:pPr>
        <w:pStyle w:val="BodyText"/>
        <w:spacing w:line="20" w:lineRule="exact"/>
        <w:ind w:left="1"/>
        <w:rPr>
          <w:rFonts w:ascii="Times New Roman"/>
          <w:sz w:val="2"/>
        </w:rPr>
      </w:pPr>
      <w:r>
        <w:rPr>
          <w:rFonts w:ascii="Times New Roman"/>
          <w:sz w:val="2"/>
        </w:rPr>
        <w:pict>
          <v:group style="width:21.7pt;height:.4pt;mso-position-horizontal-relative:char;mso-position-vertical-relative:line" coordorigin="0,0" coordsize="434,8">
            <v:line style="position:absolute" from="4,4" to="430,4" stroked="true" strokeweight=".385578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60"/>
          <w:cols w:num="2" w:equalWidth="0">
            <w:col w:w="3908" w:space="40"/>
            <w:col w:w="4822"/>
          </w:cols>
        </w:sectPr>
      </w:pPr>
    </w:p>
    <w:p>
      <w:pPr>
        <w:spacing w:line="278" w:lineRule="exact" w:before="0"/>
        <w:ind w:left="0" w:right="0" w:firstLine="0"/>
        <w:jc w:val="right"/>
        <w:rPr>
          <w:rFonts w:ascii="Symbol" w:hAnsi="Symbol"/>
          <w:sz w:val="19"/>
        </w:rPr>
      </w:pPr>
      <w:r>
        <w:rPr>
          <w:rFonts w:ascii="Symbol" w:hAnsi="Symbol"/>
          <w:spacing w:val="-94"/>
          <w:w w:val="99"/>
          <w:sz w:val="19"/>
        </w:rPr>
        <w:t></w:t>
      </w:r>
      <w:r>
        <w:rPr>
          <w:rFonts w:ascii="Symbol" w:hAnsi="Symbol"/>
          <w:w w:val="99"/>
          <w:position w:val="-10"/>
          <w:sz w:val="19"/>
        </w:rPr>
        <w:t></w:t>
      </w:r>
    </w:p>
    <w:p>
      <w:pPr>
        <w:spacing w:line="71" w:lineRule="exact" w:before="0"/>
        <w:ind w:left="0" w:right="0" w:firstLine="0"/>
        <w:jc w:val="right"/>
        <w:rPr>
          <w:rFonts w:ascii="Symbol" w:hAnsi="Symbol"/>
          <w:sz w:val="19"/>
        </w:rPr>
      </w:pPr>
      <w:r>
        <w:rPr>
          <w:rFonts w:ascii="Times New Roman" w:hAnsi="Times New Roman"/>
          <w:i/>
          <w:position w:val="5"/>
          <w:sz w:val="19"/>
        </w:rPr>
        <w:t>A</w:t>
      </w:r>
      <w:r>
        <w:rPr>
          <w:rFonts w:ascii="Times New Roman" w:hAnsi="Times New Roman"/>
          <w:i/>
          <w:sz w:val="11"/>
        </w:rPr>
        <w:t>bar   </w:t>
      </w:r>
      <w:r>
        <w:rPr>
          <w:rFonts w:ascii="Symbol" w:hAnsi="Symbol"/>
          <w:position w:val="5"/>
          <w:sz w:val="19"/>
        </w:rPr>
        <w:t></w:t>
      </w:r>
      <w:r>
        <w:rPr>
          <w:rFonts w:ascii="Times New Roman" w:hAnsi="Times New Roman"/>
          <w:position w:val="5"/>
          <w:sz w:val="19"/>
        </w:rPr>
        <w:t> </w:t>
      </w:r>
      <w:r>
        <w:rPr>
          <w:rFonts w:ascii="Symbol" w:hAnsi="Symbol"/>
          <w:position w:val="1"/>
          <w:sz w:val="19"/>
        </w:rPr>
        <w:t></w:t>
      </w:r>
    </w:p>
    <w:p>
      <w:pPr>
        <w:spacing w:line="203" w:lineRule="exact" w:before="15"/>
        <w:ind w:left="322" w:right="0" w:firstLine="0"/>
        <w:jc w:val="left"/>
        <w:rPr>
          <w:rFonts w:ascii="Symbol" w:hAnsi="Symbol"/>
          <w:sz w:val="19"/>
        </w:rPr>
      </w:pPr>
      <w:r>
        <w:rPr/>
        <w:br w:type="column"/>
      </w:r>
      <w:r>
        <w:rPr>
          <w:rFonts w:ascii="Symbol" w:hAnsi="Symbol"/>
          <w:sz w:val="19"/>
        </w:rPr>
        <w:t></w:t>
      </w:r>
    </w:p>
    <w:p>
      <w:pPr>
        <w:spacing w:line="130" w:lineRule="exact" w:before="0"/>
        <w:ind w:left="322" w:right="0" w:firstLine="0"/>
        <w:jc w:val="left"/>
        <w:rPr>
          <w:rFonts w:ascii="Times New Roman" w:hAnsi="Times New Roman"/>
          <w:sz w:val="19"/>
        </w:rPr>
      </w:pPr>
      <w:r>
        <w:rPr>
          <w:rFonts w:ascii="Symbol" w:hAnsi="Symbol"/>
          <w:position w:val="-1"/>
          <w:sz w:val="19"/>
        </w:rPr>
        <w:t></w:t>
      </w:r>
      <w:r>
        <w:rPr>
          <w:rFonts w:ascii="Times New Roman" w:hAnsi="Times New Roman"/>
          <w:spacing w:val="-31"/>
          <w:position w:val="-1"/>
          <w:sz w:val="19"/>
        </w:rPr>
        <w:t> </w:t>
      </w:r>
      <w:r>
        <w:rPr>
          <w:rFonts w:ascii="Times New Roman" w:hAnsi="Times New Roman"/>
          <w:sz w:val="19"/>
        </w:rPr>
        <w:t>4arctan</w:t>
      </w:r>
    </w:p>
    <w:p>
      <w:pPr>
        <w:tabs>
          <w:tab w:pos="1126" w:val="left" w:leader="none"/>
        </w:tabs>
        <w:spacing w:line="224" w:lineRule="exact" w:before="16"/>
        <w:ind w:left="140" w:right="0" w:firstLine="0"/>
        <w:jc w:val="left"/>
        <w:rPr>
          <w:rFonts w:ascii="Times New Roman" w:hAnsi="Times New Roman"/>
          <w:i/>
          <w:sz w:val="19"/>
        </w:rPr>
      </w:pPr>
      <w:r>
        <w:rPr/>
        <w:br w:type="column"/>
      </w:r>
      <w:r>
        <w:rPr>
          <w:rFonts w:ascii="Times New Roman" w:hAnsi="Times New Roman"/>
          <w:sz w:val="19"/>
          <w:u w:val="single"/>
        </w:rPr>
        <w:t>(1</w:t>
      </w:r>
      <w:r>
        <w:rPr>
          <w:rFonts w:ascii="Symbol" w:hAnsi="Symbol"/>
          <w:sz w:val="19"/>
          <w:u w:val="single"/>
        </w:rPr>
        <w:t></w:t>
      </w:r>
      <w:r>
        <w:rPr>
          <w:rFonts w:ascii="Times New Roman" w:hAnsi="Times New Roman"/>
          <w:spacing w:val="-23"/>
          <w:sz w:val="19"/>
          <w:u w:val="single"/>
        </w:rPr>
        <w:t>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pPr>
        <w:spacing w:line="108" w:lineRule="exact" w:before="0"/>
        <w:ind w:left="139" w:right="0" w:firstLine="0"/>
        <w:jc w:val="left"/>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w:t>
      </w:r>
      <w:r>
        <w:rPr>
          <w:rFonts w:ascii="Times New Roman" w:hAnsi="Times New Roman"/>
          <w:i/>
          <w:sz w:val="19"/>
        </w:rPr>
        <w:t>t</w:t>
      </w:r>
      <w:r>
        <w:rPr>
          <w:rFonts w:ascii="Times New Roman" w:hAnsi="Times New Roman"/>
          <w:sz w:val="19"/>
        </w:rPr>
        <w:t>) </w:t>
      </w:r>
      <w:r>
        <w:rPr>
          <w:rFonts w:ascii="Symbol" w:hAnsi="Symbol"/>
          <w:position w:val="13"/>
          <w:sz w:val="19"/>
        </w:rPr>
        <w:t></w:t>
      </w:r>
    </w:p>
    <w:p>
      <w:pPr>
        <w:spacing w:after="0" w:line="108" w:lineRule="exact"/>
        <w:jc w:val="left"/>
        <w:rPr>
          <w:rFonts w:ascii="Symbol" w:hAnsi="Symbol"/>
          <w:sz w:val="19"/>
        </w:rPr>
        <w:sectPr>
          <w:type w:val="continuous"/>
          <w:pgSz w:w="11910" w:h="16850"/>
          <w:pgMar w:top="1600" w:bottom="280" w:left="1580" w:right="1560"/>
          <w:cols w:num="3" w:equalWidth="0">
            <w:col w:w="1894" w:space="40"/>
            <w:col w:w="977" w:space="40"/>
            <w:col w:w="5819"/>
          </w:cols>
        </w:sectPr>
      </w:pPr>
    </w:p>
    <w:p>
      <w:pPr>
        <w:tabs>
          <w:tab w:pos="2256" w:val="left" w:leader="none"/>
          <w:tab w:pos="2840" w:val="left" w:leader="none"/>
          <w:tab w:pos="3407" w:val="left" w:leader="none"/>
        </w:tabs>
        <w:spacing w:line="250" w:lineRule="exact" w:before="1"/>
        <w:ind w:left="1800" w:right="0" w:firstLine="0"/>
        <w:jc w:val="left"/>
        <w:rPr>
          <w:rFonts w:ascii="Symbol" w:hAnsi="Symbol"/>
          <w:sz w:val="19"/>
        </w:rPr>
      </w:pPr>
      <w:r>
        <w:rPr>
          <w:rFonts w:ascii="Symbol" w:hAnsi="Symbol"/>
          <w:position w:val="-4"/>
          <w:sz w:val="19"/>
        </w:rPr>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pPr>
        <w:spacing w:after="0" w:line="250" w:lineRule="exact"/>
        <w:jc w:val="left"/>
        <w:rPr>
          <w:rFonts w:ascii="Symbol" w:hAnsi="Symbol"/>
          <w:sz w:val="19"/>
        </w:rPr>
        <w:sectPr>
          <w:type w:val="continuous"/>
          <w:pgSz w:w="11910" w:h="16850"/>
          <w:pgMar w:top="1600" w:bottom="280" w:left="1580" w:right="1560"/>
        </w:sectPr>
      </w:pPr>
    </w:p>
    <w:p>
      <w:pPr>
        <w:tabs>
          <w:tab w:pos="2237" w:val="left" w:leader="none"/>
          <w:tab w:pos="3575" w:val="left" w:leader="none"/>
        </w:tabs>
        <w:spacing w:line="164" w:lineRule="exact" w:before="0"/>
        <w:ind w:left="1800" w:right="0" w:firstLine="0"/>
        <w:jc w:val="left"/>
        <w:rPr>
          <w:rFonts w:ascii="Symbol" w:hAnsi="Symbol"/>
          <w:sz w:val="19"/>
        </w:rPr>
      </w:pPr>
      <w:r>
        <w:rPr/>
        <w:pict>
          <v:shape style="position:absolute;margin-left:208.879776pt;margin-top:8.223636pt;width:1.8pt;height:23.95pt;mso-position-horizontal-relative:page;mso-position-vertical-relative:paragraph;z-index:-197296" type="#_x0000_t202" filled="false" stroked="false">
            <v:textbox inset="0,0,0,0">
              <w:txbxContent>
                <w:p>
                  <w:pPr>
                    <w:spacing w:before="0"/>
                    <w:ind w:left="0" w:right="0" w:firstLine="0"/>
                    <w:jc w:val="left"/>
                    <w:rPr>
                      <w:rFonts w:ascii="Symbol" w:hAnsi="Symbol"/>
                      <w:sz w:val="39"/>
                    </w:rPr>
                  </w:pPr>
                  <w:r>
                    <w:rPr>
                      <w:rFonts w:ascii="Symbol" w:hAnsi="Symbol"/>
                      <w:spacing w:val="-27"/>
                      <w:w w:val="47"/>
                      <w:sz w:val="39"/>
                    </w:rPr>
                    <w:t></w:t>
                  </w:r>
                </w:p>
              </w:txbxContent>
            </v:textbox>
            <w10:wrap type="non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w:t>
      </w:r>
      <w:r>
        <w:rPr>
          <w:rFonts w:ascii="Times New Roman" w:hAnsi="Times New Roman"/>
          <w:sz w:val="19"/>
        </w:rPr>
        <w:t>(</w:t>
      </w:r>
      <w:r>
        <w:rPr>
          <w:rFonts w:ascii="Times New Roman" w:hAnsi="Times New Roman"/>
          <w:i/>
          <w:sz w:val="19"/>
        </w:rPr>
        <w:t>t</w:t>
      </w:r>
      <w:r>
        <w:rPr>
          <w:rFonts w:ascii="Times New Roman" w:hAnsi="Times New Roman"/>
          <w:i/>
          <w:spacing w:val="-37"/>
          <w:sz w:val="19"/>
        </w:rPr>
        <w:t> </w:t>
      </w:r>
      <w:r>
        <w:rPr>
          <w:rFonts w:ascii="Times New Roman" w:hAnsi="Times New Roman"/>
          <w:position w:val="8"/>
          <w:sz w:val="11"/>
        </w:rPr>
        <w:t>2</w:t>
      </w:r>
      <w:r>
        <w:rPr>
          <w:rFonts w:ascii="Times New Roman" w:hAnsi="Times New Roman"/>
          <w:spacing w:val="25"/>
          <w:position w:val="8"/>
          <w:sz w:val="11"/>
        </w:rPr>
        <w:t> </w:t>
      </w:r>
      <w:r>
        <w:rPr>
          <w:rFonts w:ascii="Symbol" w:hAnsi="Symbol"/>
          <w:sz w:val="19"/>
        </w:rPr>
        <w:t></w:t>
      </w:r>
      <w:r>
        <w:rPr>
          <w:rFonts w:ascii="Times New Roman" w:hAnsi="Times New Roman"/>
          <w:sz w:val="19"/>
        </w:rPr>
        <w:t>1)</w:t>
        <w:tab/>
      </w:r>
      <w:r>
        <w:rPr>
          <w:rFonts w:ascii="Symbol" w:hAnsi="Symbol"/>
          <w:position w:val="5"/>
          <w:sz w:val="19"/>
        </w:rPr>
        <w:t></w:t>
      </w:r>
    </w:p>
    <w:p>
      <w:pPr>
        <w:spacing w:line="113" w:lineRule="exact" w:before="50"/>
        <w:ind w:left="292" w:right="0" w:firstLine="0"/>
        <w:jc w:val="left"/>
        <w:rPr>
          <w:rFonts w:ascii="Symbol" w:hAnsi="Symbol"/>
          <w:i/>
          <w:sz w:val="20"/>
        </w:rPr>
      </w:pPr>
      <w:r>
        <w:rPr/>
        <w:br w:type="column"/>
      </w:r>
      <w:r>
        <w:rPr>
          <w:rFonts w:ascii="Times New Roman" w:hAnsi="Times New Roman"/>
          <w:sz w:val="19"/>
        </w:rPr>
        <w:t>40 </w:t>
      </w:r>
      <w:r>
        <w:rPr>
          <w:rFonts w:ascii="Times New Roman" w:hAnsi="Times New Roman"/>
          <w:i/>
          <w:sz w:val="19"/>
        </w:rPr>
        <w:t>f</w:t>
      </w:r>
      <w:r>
        <w:rPr>
          <w:rFonts w:ascii="Symbol" w:hAnsi="Symbol"/>
          <w:i/>
          <w:sz w:val="20"/>
        </w:rPr>
        <w:t></w:t>
      </w:r>
    </w:p>
    <w:p>
      <w:pPr>
        <w:spacing w:after="0" w:line="113" w:lineRule="exact"/>
        <w:jc w:val="left"/>
        <w:rPr>
          <w:rFonts w:ascii="Symbol" w:hAnsi="Symbol"/>
          <w:sz w:val="20"/>
        </w:rPr>
        <w:sectPr>
          <w:type w:val="continuous"/>
          <w:pgSz w:w="11910" w:h="16850"/>
          <w:pgMar w:top="1600" w:bottom="280" w:left="1580" w:right="1560"/>
          <w:cols w:num="2" w:equalWidth="0">
            <w:col w:w="3649" w:space="40"/>
            <w:col w:w="5081"/>
          </w:cols>
        </w:sectPr>
      </w:pPr>
    </w:p>
    <w:p>
      <w:pPr>
        <w:spacing w:line="209" w:lineRule="exact" w:before="17"/>
        <w:ind w:left="1800" w:right="0" w:firstLine="0"/>
        <w:jc w:val="left"/>
        <w:rPr>
          <w:rFonts w:ascii="Symbol" w:hAnsi="Symbol"/>
          <w:sz w:val="19"/>
        </w:rPr>
      </w:pPr>
      <w:r>
        <w:rPr>
          <w:rFonts w:ascii="Symbol" w:hAnsi="Symbol"/>
          <w:sz w:val="19"/>
        </w:rPr>
        <w:t></w:t>
      </w:r>
      <w:r>
        <w:rPr>
          <w:rFonts w:ascii="Times New Roman" w:hAnsi="Times New Roman"/>
          <w:position w:val="1"/>
          <w:sz w:val="19"/>
        </w:rPr>
        <w:t>10lg</w:t>
      </w:r>
      <w:r>
        <w:rPr>
          <w:rFonts w:ascii="Symbol" w:hAnsi="Symbol"/>
          <w:position w:val="1"/>
          <w:sz w:val="19"/>
        </w:rPr>
        <w:t></w:t>
      </w:r>
    </w:p>
    <w:p>
      <w:pPr>
        <w:spacing w:line="17" w:lineRule="exact" w:before="0"/>
        <w:ind w:left="0" w:right="0" w:firstLine="0"/>
        <w:jc w:val="right"/>
        <w:rPr>
          <w:rFonts w:ascii="Symbol" w:hAnsi="Symbol"/>
          <w:sz w:val="19"/>
        </w:rPr>
      </w:pPr>
      <w:r>
        <w:rPr>
          <w:rFonts w:ascii="Symbol" w:hAnsi="Symbol"/>
          <w:position w:val="1"/>
          <w:sz w:val="19"/>
        </w:rPr>
        <w:t></w:t>
      </w:r>
      <w:r>
        <w:rPr>
          <w:rFonts w:ascii="Times New Roman" w:hAnsi="Times New Roman"/>
          <w:position w:val="1"/>
          <w:sz w:val="19"/>
        </w:rPr>
        <w:t> </w:t>
      </w:r>
      <w:r>
        <w:rPr>
          <w:rFonts w:ascii="Times New Roman" w:hAnsi="Times New Roman"/>
          <w:sz w:val="19"/>
        </w:rPr>
        <w:t>2ln </w:t>
      </w:r>
      <w:r>
        <w:rPr>
          <w:rFonts w:ascii="Times New Roman" w:hAnsi="Times New Roman"/>
          <w:i/>
          <w:sz w:val="19"/>
        </w:rPr>
        <w:t>t </w:t>
      </w:r>
      <w:r>
        <w:rPr>
          <w:rFonts w:ascii="Symbol" w:hAnsi="Symbol"/>
          <w:sz w:val="19"/>
        </w:rPr>
        <w:t></w:t>
      </w:r>
    </w:p>
    <w:p>
      <w:pPr>
        <w:spacing w:line="208" w:lineRule="exact" w:before="1"/>
        <w:ind w:left="120" w:right="0" w:firstLine="0"/>
        <w:jc w:val="left"/>
        <w:rPr>
          <w:rFonts w:ascii="Times New Roman" w:hAnsi="Times New Roman"/>
          <w:i/>
          <w:sz w:val="19"/>
        </w:rPr>
      </w:pPr>
      <w:r>
        <w:rPr/>
        <w:br w:type="column"/>
      </w:r>
      <w:r>
        <w:rPr>
          <w:rFonts w:ascii="Times New Roman" w:hAnsi="Times New Roman"/>
          <w:spacing w:val="-1"/>
          <w:w w:val="99"/>
          <w:sz w:val="19"/>
        </w:rPr>
        <w:t>(</w:t>
      </w:r>
      <w:r>
        <w:rPr>
          <w:rFonts w:ascii="Times New Roman" w:hAnsi="Times New Roman"/>
          <w:i/>
          <w:w w:val="99"/>
          <w:sz w:val="19"/>
        </w:rPr>
        <w:t>t</w:t>
      </w:r>
      <w:r>
        <w:rPr>
          <w:rFonts w:ascii="Times New Roman" w:hAnsi="Times New Roman"/>
          <w:i/>
          <w:spacing w:val="-25"/>
          <w:sz w:val="19"/>
        </w:rPr>
        <w:t> </w:t>
      </w:r>
      <w:r>
        <w:rPr>
          <w:rFonts w:ascii="Times New Roman" w:hAnsi="Times New Roman"/>
          <w:w w:val="100"/>
          <w:position w:val="8"/>
          <w:sz w:val="11"/>
        </w:rPr>
        <w:t>2</w:t>
      </w:r>
      <w:r>
        <w:rPr>
          <w:rFonts w:ascii="Times New Roman" w:hAnsi="Times New Roman"/>
          <w:position w:val="8"/>
          <w:sz w:val="11"/>
        </w:rPr>
        <w:t> </w:t>
      </w:r>
      <w:r>
        <w:rPr>
          <w:rFonts w:ascii="Times New Roman" w:hAnsi="Times New Roman"/>
          <w:spacing w:val="-2"/>
          <w:position w:val="8"/>
          <w:sz w:val="11"/>
        </w:rPr>
        <w:t>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w:t>
      </w:r>
      <w:r>
        <w:rPr>
          <w:rFonts w:ascii="Symbol" w:hAnsi="Symbol"/>
          <w:spacing w:val="-5"/>
          <w:w w:val="47"/>
          <w:sz w:val="39"/>
        </w:rPr>
        <w:t></w:t>
      </w:r>
      <w:r>
        <w:rPr>
          <w:rFonts w:ascii="Symbol" w:hAnsi="Symbol"/>
          <w:spacing w:val="-73"/>
          <w:w w:val="99"/>
          <w:position w:val="1"/>
          <w:sz w:val="19"/>
        </w:rPr>
        <w:t></w:t>
      </w:r>
      <w:r>
        <w:rPr>
          <w:rFonts w:ascii="Symbol" w:hAnsi="Symbol"/>
          <w:spacing w:val="4"/>
          <w:w w:val="99"/>
          <w:position w:val="19"/>
          <w:sz w:val="19"/>
        </w:rPr>
        <w:t></w:t>
      </w:r>
      <w:r>
        <w:rPr>
          <w:rFonts w:ascii="Times New Roman" w:hAnsi="Times New Roman"/>
          <w:spacing w:val="13"/>
          <w:w w:val="99"/>
          <w:position w:val="19"/>
          <w:sz w:val="19"/>
        </w:rPr>
        <w:t>,</w:t>
      </w:r>
      <w:r>
        <w:rPr>
          <w:rFonts w:ascii="Times New Roman" w:hAnsi="Times New Roman"/>
          <w:i/>
          <w:w w:val="99"/>
          <w:position w:val="19"/>
          <w:sz w:val="19"/>
        </w:rPr>
        <w:t>t</w:t>
      </w:r>
      <w:r>
        <w:rPr>
          <w:rFonts w:ascii="Times New Roman" w:hAnsi="Times New Roman"/>
          <w:i/>
          <w:spacing w:val="5"/>
          <w:position w:val="19"/>
          <w:sz w:val="19"/>
        </w:rPr>
        <w:t> </w:t>
      </w:r>
      <w:r>
        <w:rPr>
          <w:rFonts w:ascii="Symbol" w:hAnsi="Symbol"/>
          <w:w w:val="99"/>
          <w:position w:val="19"/>
          <w:sz w:val="19"/>
        </w:rPr>
        <w:t></w:t>
      </w:r>
      <w:r>
        <w:rPr>
          <w:rFonts w:ascii="Times New Roman" w:hAnsi="Times New Roman"/>
          <w:position w:val="19"/>
          <w:sz w:val="19"/>
        </w:rPr>
        <w:t>   </w:t>
      </w:r>
      <w:r>
        <w:rPr>
          <w:rFonts w:ascii="Times New Roman" w:hAnsi="Times New Roman"/>
          <w:spacing w:val="-21"/>
          <w:position w:val="19"/>
          <w:sz w:val="19"/>
        </w:rPr>
        <w:t> </w:t>
      </w:r>
      <w:r>
        <w:rPr>
          <w:rFonts w:ascii="Times New Roman" w:hAnsi="Times New Roman"/>
          <w:spacing w:val="-6"/>
          <w:w w:val="99"/>
          <w:position w:val="4"/>
          <w:sz w:val="19"/>
        </w:rPr>
        <w:t>3</w:t>
      </w:r>
      <w:r>
        <w:rPr>
          <w:rFonts w:ascii="Times New Roman" w:hAnsi="Times New Roman"/>
          <w:i/>
          <w:w w:val="99"/>
          <w:position w:val="4"/>
          <w:sz w:val="19"/>
        </w:rPr>
        <w:t>c</w:t>
      </w:r>
    </w:p>
    <w:p>
      <w:pPr>
        <w:spacing w:line="195" w:lineRule="exact" w:before="15"/>
        <w:ind w:left="13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spacing w:after="0" w:line="195" w:lineRule="exact"/>
        <w:jc w:val="left"/>
        <w:rPr>
          <w:rFonts w:ascii="Times New Roman" w:hAnsi="Times New Roman"/>
          <w:sz w:val="19"/>
        </w:rPr>
        <w:sectPr>
          <w:type w:val="continuous"/>
          <w:pgSz w:w="11910" w:h="16850"/>
          <w:pgMar w:top="1600" w:bottom="280" w:left="1580" w:right="1560"/>
          <w:cols w:num="3" w:equalWidth="0">
            <w:col w:w="2833" w:space="40"/>
            <w:col w:w="1394" w:space="40"/>
            <w:col w:w="4463"/>
          </w:cols>
        </w:sectPr>
      </w:pPr>
    </w:p>
    <w:p>
      <w:pPr>
        <w:tabs>
          <w:tab w:pos="2237" w:val="left" w:leader="none"/>
          <w:tab w:pos="3575" w:val="left" w:leader="none"/>
        </w:tabs>
        <w:spacing w:line="299" w:lineRule="exact" w:before="0"/>
        <w:ind w:left="1800" w:right="0" w:firstLine="0"/>
        <w:jc w:val="left"/>
        <w:rPr>
          <w:rFonts w:ascii="Symbol" w:hAnsi="Symbol"/>
          <w:sz w:val="19"/>
        </w:rPr>
      </w:pPr>
      <w:r>
        <w:rPr/>
        <w:pict>
          <v:line style="position:absolute;mso-position-horizontal-relative:page;mso-position-vertical-relative:paragraph;z-index:-197344" from="277.423889pt,-2.591516pt" to="298.715923pt,-2.591516pt" stroked="true" strokeweight=".385578pt" strokecolor="#000000">
            <v:stroke dashstyle="solid"/>
            <w10:wrap type="none"/>
          </v:line>
        </w:pict>
      </w:r>
      <w:r>
        <w:rPr/>
        <w:pict>
          <v:group style="position:absolute;margin-left:84.014pt;margin-top:71.749977pt;width:427.55pt;height:682.95pt;mso-position-horizontal-relative:page;mso-position-vertical-relative:page;z-index:-197320" coordorigin="1680,1435" coordsize="8551,13659">
            <v:line style="position:absolute" from="1695,1445" to="10216,1445" stroked="true" strokeweight=".48pt" strokecolor="#000000">
              <v:stroke dashstyle="solid"/>
            </v:line>
            <v:line style="position:absolute" from="1690,1440" to="1690,15084" stroked="true" strokeweight=".48pt" strokecolor="#000000">
              <v:stroke dashstyle="solid"/>
            </v:line>
            <v:line style="position:absolute" from="1685,15088" to="1695,15088" stroked="true" strokeweight=".47998pt" strokecolor="#000000">
              <v:stroke dashstyle="solid"/>
            </v:line>
            <v:line style="position:absolute" from="1685,15088" to="1695,15088" stroked="true" strokeweight=".47998pt" strokecolor="#000000">
              <v:stroke dashstyle="solid"/>
            </v:line>
            <v:line style="position:absolute" from="1695,15088" to="10216,15088" stroked="true" strokeweight=".47998pt" strokecolor="#000000">
              <v:stroke dashstyle="solid"/>
            </v:line>
            <v:line style="position:absolute" from="10221,1440" to="10221,15084" stroked="true" strokeweight=".47998pt" strokecolor="#000000">
              <v:stroke dashstyle="solid"/>
            </v:line>
            <v:line style="position:absolute" from="10216,15088" to="10226,15088" stroked="true" strokeweight=".47998pt" strokecolor="#000000">
              <v:stroke dashstyle="solid"/>
            </v:line>
            <v:line style="position:absolute" from="10216,15088" to="10226,15088" stroked="true" strokeweight=".47998pt" strokecolor="#000000">
              <v:stroke dashstyle="solid"/>
            </v:line>
            <w10:wrap type="none"/>
          </v:group>
        </w:pict>
      </w:r>
      <w:r>
        <w:rPr>
          <w:rFonts w:ascii="Symbol" w:hAnsi="Symbol"/>
          <w:spacing w:val="-94"/>
          <w:w w:val="99"/>
          <w:sz w:val="19"/>
        </w:rPr>
        <w:t></w:t>
      </w:r>
      <w:r>
        <w:rPr>
          <w:rFonts w:ascii="Symbol" w:hAnsi="Symbol"/>
          <w:w w:val="99"/>
          <w:position w:val="7"/>
          <w:sz w:val="19"/>
        </w:rPr>
        <w:t></w:t>
      </w:r>
      <w:r>
        <w:rPr>
          <w:rFonts w:ascii="Times New Roman" w:hAnsi="Times New Roman"/>
          <w:position w:val="7"/>
          <w:sz w:val="19"/>
        </w:rPr>
        <w:tab/>
      </w:r>
      <w:r>
        <w:rPr>
          <w:rFonts w:ascii="Symbol" w:hAnsi="Symbol"/>
          <w:w w:val="99"/>
          <w:position w:val="2"/>
          <w:sz w:val="19"/>
        </w:rPr>
        <w:t></w:t>
      </w:r>
      <w:r>
        <w:rPr>
          <w:rFonts w:ascii="Times New Roman" w:hAnsi="Times New Roman"/>
          <w:position w:val="2"/>
          <w:sz w:val="19"/>
        </w:rPr>
        <w:tab/>
      </w:r>
      <w:r>
        <w:rPr>
          <w:rFonts w:ascii="Symbol" w:hAnsi="Symbol"/>
          <w:w w:val="99"/>
          <w:position w:val="2"/>
          <w:sz w:val="19"/>
        </w:rPr>
        <w:t></w:t>
      </w:r>
    </w:p>
    <w:p>
      <w:pPr>
        <w:spacing w:after="0" w:line="299" w:lineRule="exact"/>
        <w:jc w:val="left"/>
        <w:rPr>
          <w:rFonts w:ascii="Symbol" w:hAnsi="Symbol"/>
          <w:sz w:val="19"/>
        </w:rPr>
        <w:sectPr>
          <w:type w:val="continuous"/>
          <w:pgSz w:w="11910" w:h="16850"/>
          <w:pgMar w:top="1600" w:bottom="28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4887"/>
        <w:gridCol w:w="3058"/>
        <w:gridCol w:w="293"/>
      </w:tblGrid>
      <w:tr>
        <w:trPr>
          <w:trHeight w:val="13245" w:hRule="exact"/>
        </w:trPr>
        <w:tc>
          <w:tcPr>
            <w:tcW w:w="8531" w:type="dxa"/>
            <w:gridSpan w:val="4"/>
            <w:tcBorders>
              <w:bottom w:val="nil"/>
            </w:tcBorders>
          </w:tcPr>
          <w:p>
            <w:pPr>
              <w:pStyle w:val="TableParagraph"/>
              <w:spacing w:line="292" w:lineRule="exact"/>
              <w:ind w:left="486" w:right="18"/>
              <w:rPr>
                <w:sz w:val="24"/>
              </w:rPr>
            </w:pPr>
            <w:r>
              <w:rPr>
                <w:spacing w:val="-1"/>
                <w:w w:val="95"/>
                <w:sz w:val="24"/>
              </w:rPr>
              <w:t>式中，</w:t>
            </w:r>
            <w:r>
              <w:rPr>
                <w:rFonts w:ascii="Times New Roman" w:eastAsia="Times New Roman"/>
                <w:w w:val="95"/>
                <w:sz w:val="24"/>
              </w:rPr>
              <w:t>f</w:t>
            </w:r>
            <w:r>
              <w:rPr>
                <w:w w:val="95"/>
                <w:sz w:val="24"/>
              </w:rPr>
              <w:t>声波频率，</w:t>
            </w:r>
            <w:r>
              <w:rPr>
                <w:rFonts w:ascii="Times New Roman" w:eastAsia="Times New Roman"/>
                <w:w w:val="95"/>
                <w:sz w:val="24"/>
              </w:rPr>
              <w:t>Hz</w:t>
            </w:r>
            <w:r>
              <w:rPr>
                <w:w w:val="95"/>
                <w:sz w:val="24"/>
              </w:rPr>
              <w:t>。公路中可取</w:t>
            </w:r>
            <w:r>
              <w:rPr>
                <w:rFonts w:ascii="Times New Roman" w:eastAsia="Times New Roman"/>
                <w:w w:val="95"/>
                <w:sz w:val="24"/>
              </w:rPr>
              <w:t>500</w:t>
            </w:r>
            <w:r>
              <w:rPr>
                <w:w w:val="95"/>
                <w:sz w:val="24"/>
              </w:rPr>
              <w:t>计算</w:t>
            </w:r>
            <w:r>
              <w:rPr>
                <w:rFonts w:ascii="Times New Roman" w:eastAsia="Times New Roman"/>
                <w:w w:val="95"/>
                <w:sz w:val="24"/>
              </w:rPr>
              <w:t>A</w:t>
            </w:r>
            <w:r>
              <w:rPr>
                <w:w w:val="95"/>
                <w:sz w:val="24"/>
              </w:rPr>
              <w:t>声级衰减量。</w:t>
            </w:r>
            <w:r>
              <w:rPr>
                <w:rFonts w:ascii="Times New Roman" w:eastAsia="Times New Roman"/>
                <w:w w:val="95"/>
                <w:sz w:val="24"/>
              </w:rPr>
              <w:t>C</w:t>
            </w:r>
            <w:r>
              <w:rPr>
                <w:w w:val="95"/>
                <w:sz w:val="24"/>
              </w:rPr>
              <w:t>为声速</w:t>
            </w:r>
            <w:r>
              <w:rPr>
                <w:rFonts w:ascii="Times New Roman" w:eastAsia="Times New Roman"/>
                <w:w w:val="95"/>
                <w:sz w:val="24"/>
              </w:rPr>
              <w:t>,340m/s</w:t>
            </w:r>
            <w:r>
              <w:rPr>
                <w:w w:val="95"/>
                <w:sz w:val="24"/>
              </w:rPr>
              <w:t>。</w:t>
            </w:r>
          </w:p>
          <w:p>
            <w:pPr>
              <w:pStyle w:val="TableParagraph"/>
              <w:spacing w:before="140"/>
              <w:ind w:right="6323"/>
              <w:rPr>
                <w:sz w:val="24"/>
              </w:rPr>
            </w:pPr>
            <w:r>
              <w:rPr>
                <w:rFonts w:ascii="Symbol" w:hAnsi="Symbol" w:eastAsia="Symbol"/>
                <w:i/>
                <w:position w:val="6"/>
                <w:sz w:val="25"/>
              </w:rPr>
              <w:t></w:t>
            </w:r>
            <w:r>
              <w:rPr>
                <w:rFonts w:ascii="Times New Roman" w:hAnsi="Times New Roman" w:eastAsia="Times New Roman"/>
                <w:i/>
                <w:position w:val="6"/>
                <w:sz w:val="25"/>
              </w:rPr>
              <w:t> </w:t>
            </w:r>
            <w:r>
              <w:rPr>
                <w:sz w:val="24"/>
              </w:rPr>
              <w:t>为声程差，</w:t>
            </w:r>
            <w:r>
              <w:rPr>
                <w:rFonts w:ascii="Times New Roman" w:hAnsi="Times New Roman" w:eastAsia="Times New Roman"/>
                <w:sz w:val="24"/>
              </w:rPr>
              <w:t>m</w:t>
            </w:r>
            <w:r>
              <w:rPr>
                <w:sz w:val="24"/>
              </w:rPr>
              <w:t>。 </w:t>
            </w:r>
          </w:p>
          <w:p>
            <w:pPr>
              <w:pStyle w:val="TableParagraph"/>
              <w:spacing w:before="135"/>
              <w:ind w:left="463"/>
              <w:jc w:val="left"/>
              <w:rPr>
                <w:sz w:val="24"/>
              </w:rPr>
            </w:pPr>
            <w:r>
              <w:rPr>
                <w:sz w:val="24"/>
              </w:rPr>
              <w:t>有限长声屏障也用上式计算，但再根据遮蔽角进行修正。 </w:t>
            </w:r>
          </w:p>
          <w:p>
            <w:pPr>
              <w:pStyle w:val="TableParagraph"/>
              <w:spacing w:before="151"/>
              <w:ind w:left="955"/>
              <w:jc w:val="left"/>
              <w:rPr>
                <w:sz w:val="24"/>
              </w:rPr>
            </w:pPr>
            <w:r>
              <w:rPr>
                <w:sz w:val="24"/>
              </w:rPr>
              <w:t>②高路堤或低路堑声影区衰减量计算 </w:t>
            </w:r>
          </w:p>
          <w:p>
            <w:pPr>
              <w:pStyle w:val="TableParagraph"/>
              <w:spacing w:before="153"/>
              <w:ind w:left="955" w:right="-17"/>
              <w:jc w:val="left"/>
              <w:rPr>
                <w:sz w:val="24"/>
              </w:rPr>
            </w:pPr>
            <w:r>
              <w:rPr>
                <w:spacing w:val="-1"/>
                <w:w w:val="95"/>
                <w:sz w:val="24"/>
              </w:rPr>
              <w:t>计算出声程差后，直接采用式</w:t>
            </w:r>
            <w:r>
              <w:rPr>
                <w:w w:val="95"/>
                <w:sz w:val="24"/>
              </w:rPr>
              <w:t>（</w:t>
            </w:r>
            <w:r>
              <w:rPr>
                <w:rFonts w:ascii="Times New Roman" w:eastAsia="Times New Roman"/>
                <w:w w:val="95"/>
                <w:sz w:val="24"/>
              </w:rPr>
              <w:t>A.18</w:t>
            </w:r>
            <w:r>
              <w:rPr>
                <w:w w:val="95"/>
                <w:sz w:val="24"/>
              </w:rPr>
              <w:t>）计算，不再采用图</w:t>
            </w:r>
            <w:r>
              <w:rPr>
                <w:rFonts w:ascii="Times New Roman" w:eastAsia="Times New Roman"/>
                <w:w w:val="95"/>
                <w:sz w:val="24"/>
              </w:rPr>
              <w:t>A.5</w:t>
            </w:r>
            <w:r>
              <w:rPr>
                <w:spacing w:val="-17"/>
                <w:w w:val="95"/>
                <w:sz w:val="24"/>
              </w:rPr>
              <w:t>来查找了。</w:t>
            </w:r>
            <w:r>
              <w:rPr>
                <w:w w:val="95"/>
                <w:sz w:val="24"/>
              </w:rPr>
              <w:t> </w:t>
            </w:r>
          </w:p>
          <w:p>
            <w:pPr>
              <w:pStyle w:val="TableParagraph"/>
              <w:spacing w:before="133"/>
              <w:ind w:left="955"/>
              <w:jc w:val="left"/>
              <w:rPr>
                <w:sz w:val="24"/>
              </w:rPr>
            </w:pPr>
            <w:r>
              <w:rPr>
                <w:sz w:val="24"/>
              </w:rPr>
              <w:t>③农村房屋附加衰减量估值 </w:t>
            </w:r>
          </w:p>
          <w:p>
            <w:pPr>
              <w:pStyle w:val="TableParagraph"/>
              <w:spacing w:line="336" w:lineRule="auto" w:before="154" w:after="67"/>
              <w:ind w:left="103" w:firstLine="479"/>
              <w:jc w:val="left"/>
              <w:rPr>
                <w:sz w:val="24"/>
              </w:rPr>
            </w:pPr>
            <w:r>
              <w:rPr>
                <w:sz w:val="24"/>
              </w:rPr>
              <w:t>农村房屋衰减量可参照 </w:t>
            </w:r>
            <w:r>
              <w:rPr>
                <w:rFonts w:ascii="Times New Roman" w:eastAsia="Times New Roman"/>
                <w:sz w:val="24"/>
              </w:rPr>
              <w:t>GB/T17247.2 </w:t>
            </w:r>
            <w:r>
              <w:rPr>
                <w:sz w:val="24"/>
              </w:rPr>
              <w:t>附录 </w:t>
            </w:r>
            <w:r>
              <w:rPr>
                <w:rFonts w:ascii="Times New Roman" w:eastAsia="Times New Roman"/>
                <w:sz w:val="24"/>
              </w:rPr>
              <w:t>A </w:t>
            </w:r>
            <w:r>
              <w:rPr>
                <w:sz w:val="24"/>
              </w:rPr>
              <w:t>进行计算，在沿公路第一排房屋影声区范围内，近似计算可按下图和表 </w:t>
            </w:r>
            <w:r>
              <w:rPr>
                <w:rFonts w:ascii="Times New Roman" w:eastAsia="Times New Roman"/>
                <w:sz w:val="24"/>
              </w:rPr>
              <w:t>7-4 </w:t>
            </w:r>
            <w:r>
              <w:rPr>
                <w:sz w:val="24"/>
              </w:rPr>
              <w:t>取值。</w:t>
            </w:r>
          </w:p>
          <w:p>
            <w:pPr>
              <w:pStyle w:val="TableParagraph"/>
              <w:ind w:left="523"/>
              <w:jc w:val="left"/>
              <w:rPr>
                <w:rFonts w:ascii="Symbol" w:hAnsi="Symbol"/>
                <w:sz w:val="20"/>
              </w:rPr>
            </w:pPr>
            <w:r>
              <w:rPr>
                <w:rFonts w:ascii="Symbol" w:hAnsi="Symbol"/>
                <w:sz w:val="20"/>
              </w:rPr>
              <w:drawing>
                <wp:inline distT="0" distB="0" distL="0" distR="0">
                  <wp:extent cx="4541050" cy="1657350"/>
                  <wp:effectExtent l="0" t="0" r="0" b="0"/>
                  <wp:docPr id="7" name="image7.jpeg" descr=""/>
                  <wp:cNvGraphicFramePr>
                    <a:graphicFrameLocks noChangeAspect="1"/>
                  </wp:cNvGraphicFramePr>
                  <a:graphic>
                    <a:graphicData uri="http://schemas.openxmlformats.org/drawingml/2006/picture">
                      <pic:pic>
                        <pic:nvPicPr>
                          <pic:cNvPr id="8" name="image7.jpeg"/>
                          <pic:cNvPicPr/>
                        </pic:nvPicPr>
                        <pic:blipFill>
                          <a:blip r:embed="rId13" cstate="print"/>
                          <a:stretch>
                            <a:fillRect/>
                          </a:stretch>
                        </pic:blipFill>
                        <pic:spPr>
                          <a:xfrm>
                            <a:off x="0" y="0"/>
                            <a:ext cx="4541050" cy="1657350"/>
                          </a:xfrm>
                          <a:prstGeom prst="rect">
                            <a:avLst/>
                          </a:prstGeom>
                        </pic:spPr>
                      </pic:pic>
                    </a:graphicData>
                  </a:graphic>
                </wp:inline>
              </w:drawing>
            </w:r>
            <w:r>
              <w:rPr>
                <w:rFonts w:ascii="Symbol" w:hAnsi="Symbol"/>
                <w:sz w:val="20"/>
              </w:rPr>
            </w:r>
          </w:p>
          <w:p>
            <w:pPr>
              <w:pStyle w:val="TableParagraph"/>
              <w:spacing w:before="107"/>
              <w:ind w:left="437" w:right="18"/>
              <w:rPr>
                <w:sz w:val="21"/>
              </w:rPr>
            </w:pPr>
            <w:r>
              <w:rPr>
                <w:sz w:val="21"/>
              </w:rPr>
              <w:t>农村房屋降噪量估算示意图</w:t>
            </w:r>
          </w:p>
          <w:p>
            <w:pPr>
              <w:pStyle w:val="TableParagraph"/>
              <w:tabs>
                <w:tab w:pos="861" w:val="left" w:leader="none"/>
              </w:tabs>
              <w:spacing w:before="127"/>
              <w:ind w:right="1"/>
              <w:rPr>
                <w:b/>
                <w:sz w:val="24"/>
              </w:rPr>
            </w:pPr>
            <w:r>
              <w:rPr>
                <w:b/>
                <w:sz w:val="24"/>
              </w:rPr>
              <w:t>表</w:t>
            </w:r>
            <w:r>
              <w:rPr>
                <w:b/>
                <w:spacing w:val="-60"/>
                <w:sz w:val="24"/>
              </w:rPr>
              <w:t> </w:t>
            </w:r>
            <w:r>
              <w:rPr>
                <w:rFonts w:ascii="Times New Roman" w:eastAsia="Times New Roman"/>
                <w:b/>
                <w:sz w:val="24"/>
              </w:rPr>
              <w:t>7-4</w:t>
              <w:tab/>
            </w:r>
            <w:r>
              <w:rPr>
                <w:b/>
                <w:w w:val="95"/>
                <w:sz w:val="24"/>
              </w:rPr>
              <w:t>房屋噪声附加衰减量估算量</w:t>
            </w:r>
          </w:p>
          <w:p>
            <w:pPr>
              <w:pStyle w:val="TableParagraph"/>
              <w:tabs>
                <w:tab w:pos="6123" w:val="left" w:leader="none"/>
              </w:tabs>
              <w:spacing w:before="192"/>
              <w:ind w:left="1763"/>
              <w:jc w:val="left"/>
              <w:rPr>
                <w:rFonts w:ascii="Times New Roman" w:eastAsia="Times New Roman"/>
                <w:i/>
                <w:sz w:val="21"/>
              </w:rPr>
            </w:pPr>
            <w:r>
              <w:rPr>
                <w:sz w:val="21"/>
              </w:rPr>
              <w:t>房屋</w:t>
            </w:r>
            <w:r>
              <w:rPr>
                <w:spacing w:val="-3"/>
                <w:sz w:val="21"/>
              </w:rPr>
              <w:t>状</w:t>
            </w:r>
            <w:r>
              <w:rPr>
                <w:sz w:val="21"/>
              </w:rPr>
              <w:t>况</w:t>
              <w:tab/>
            </w:r>
            <w:r>
              <w:rPr>
                <w:rFonts w:ascii="Times New Roman" w:eastAsia="Times New Roman"/>
                <w:i/>
                <w:sz w:val="21"/>
              </w:rPr>
              <w:t>Abar</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tab/>
              <w:t>3</w:t>
            </w:r>
            <w:r>
              <w:rPr>
                <w:rFonts w:ascii="Times New Roman" w:eastAsia="Times New Roman"/>
                <w:spacing w:val="2"/>
                <w:sz w:val="21"/>
              </w:rPr>
              <w:t> </w:t>
            </w:r>
            <w:r>
              <w:rPr>
                <w:rFonts w:ascii="Times New Roman" w:eastAsia="Times New Roman"/>
                <w:sz w:val="21"/>
              </w:rPr>
              <w:t>dB</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tab/>
              <w:t>5</w:t>
            </w:r>
            <w:r>
              <w:rPr>
                <w:rFonts w:ascii="Times New Roman" w:eastAsia="Times New Roman"/>
                <w:spacing w:val="2"/>
                <w:sz w:val="21"/>
              </w:rPr>
              <w:t> </w:t>
            </w:r>
            <w:r>
              <w:rPr>
                <w:rFonts w:ascii="Times New Roman" w:eastAsia="Times New Roman"/>
                <w:sz w:val="21"/>
              </w:rPr>
              <w:t>dB</w:t>
            </w:r>
          </w:p>
          <w:p>
            <w:pPr>
              <w:pStyle w:val="TableParagraph"/>
              <w:tabs>
                <w:tab w:pos="6053" w:val="left" w:leader="none"/>
              </w:tabs>
              <w:spacing w:line="298" w:lineRule="exact" w:before="79"/>
              <w:ind w:left="1238"/>
              <w:jc w:val="left"/>
              <w:rPr>
                <w:rFonts w:ascii="Times New Roman" w:eastAsia="Times New Roman"/>
                <w:sz w:val="21"/>
              </w:rPr>
            </w:pPr>
            <w:r>
              <w:rPr>
                <w:sz w:val="21"/>
              </w:rPr>
              <w:t>以后</w:t>
            </w:r>
            <w:r>
              <w:rPr>
                <w:spacing w:val="-3"/>
                <w:sz w:val="21"/>
              </w:rPr>
              <w:t>每</w:t>
            </w:r>
            <w:r>
              <w:rPr>
                <w:sz w:val="21"/>
              </w:rPr>
              <w:t>增</w:t>
            </w:r>
            <w:r>
              <w:rPr>
                <w:spacing w:val="-3"/>
                <w:sz w:val="21"/>
              </w:rPr>
              <w:t>加</w:t>
            </w:r>
            <w:r>
              <w:rPr>
                <w:sz w:val="21"/>
              </w:rPr>
              <w:t>一</w:t>
            </w:r>
            <w:r>
              <w:rPr>
                <w:spacing w:val="-3"/>
                <w:sz w:val="21"/>
              </w:rPr>
              <w:t>排</w:t>
            </w:r>
            <w:r>
              <w:rPr>
                <w:sz w:val="21"/>
              </w:rPr>
              <w:t>房屋</w:t>
              <w:tab/>
            </w:r>
            <w:r>
              <w:rPr>
                <w:rFonts w:ascii="Times New Roman" w:eastAsia="Times New Roman"/>
                <w:position w:val="14"/>
                <w:sz w:val="21"/>
              </w:rPr>
              <w:t>1.5</w:t>
            </w:r>
            <w:r>
              <w:rPr>
                <w:rFonts w:ascii="Times New Roman" w:eastAsia="Times New Roman"/>
                <w:spacing w:val="-1"/>
                <w:position w:val="14"/>
                <w:sz w:val="21"/>
              </w:rPr>
              <w:t> </w:t>
            </w:r>
            <w:r>
              <w:rPr>
                <w:rFonts w:ascii="Times New Roman" w:eastAsia="Times New Roman"/>
                <w:position w:val="14"/>
                <w:sz w:val="21"/>
              </w:rPr>
              <w:t>dB</w:t>
            </w:r>
          </w:p>
          <w:p>
            <w:pPr>
              <w:pStyle w:val="TableParagraph"/>
              <w:spacing w:line="214" w:lineRule="exact"/>
              <w:ind w:left="5314"/>
              <w:jc w:val="left"/>
              <w:rPr>
                <w:rFonts w:ascii="Times New Roman" w:hAnsi="Times New Roman" w:eastAsia="Times New Roman"/>
                <w:sz w:val="21"/>
              </w:rPr>
            </w:pPr>
            <w:r>
              <w:rPr>
                <w:sz w:val="21"/>
              </w:rPr>
              <w:t>最大绝对衰减量</w:t>
            </w:r>
            <w:r>
              <w:rPr>
                <w:rFonts w:ascii="Times New Roman" w:hAnsi="Times New Roman" w:eastAsia="Times New Roman"/>
                <w:sz w:val="21"/>
              </w:rPr>
              <w:t>≤10dB</w:t>
            </w:r>
          </w:p>
          <w:p>
            <w:pPr>
              <w:pStyle w:val="TableParagraph"/>
              <w:spacing w:line="323" w:lineRule="exact"/>
              <w:ind w:left="583"/>
              <w:jc w:val="left"/>
              <w:rPr>
                <w:sz w:val="24"/>
              </w:rPr>
            </w:pPr>
            <w:r>
              <w:rPr>
                <w:sz w:val="24"/>
              </w:rPr>
              <w:t>（</w:t>
            </w:r>
            <w:r>
              <w:rPr>
                <w:rFonts w:ascii="Times New Roman" w:eastAsia="Times New Roman"/>
                <w:sz w:val="24"/>
              </w:rPr>
              <w:t>5</w:t>
            </w:r>
            <w:r>
              <w:rPr>
                <w:sz w:val="24"/>
              </w:rPr>
              <w:t>）预测点昼间或夜间的环境噪声预测</w:t>
            </w:r>
          </w:p>
          <w:p>
            <w:pPr>
              <w:pStyle w:val="TableParagraph"/>
              <w:tabs>
                <w:tab w:pos="4380" w:val="left" w:leader="none"/>
              </w:tabs>
              <w:spacing w:line="156" w:lineRule="exact" w:before="154"/>
              <w:ind w:left="1797"/>
              <w:jc w:val="left"/>
              <w:rPr>
                <w:rFonts w:ascii="Times New Roman" w:eastAsia="Times New Roman"/>
                <w:sz w:val="16"/>
              </w:rPr>
            </w:pPr>
            <w:r>
              <w:rPr>
                <w:rFonts w:ascii="Times New Roman" w:eastAsia="Times New Roman"/>
                <w:position w:val="-10"/>
                <w:sz w:val="24"/>
              </w:rPr>
              <w:t>L</w:t>
            </w:r>
            <w:r>
              <w:rPr>
                <w:rFonts w:ascii="Times New Roman" w:eastAsia="Times New Roman"/>
                <w:position w:val="-13"/>
                <w:sz w:val="16"/>
              </w:rPr>
              <w:t>Aeq</w:t>
            </w:r>
            <w:r>
              <w:rPr>
                <w:position w:val="-12"/>
                <w:sz w:val="12"/>
              </w:rPr>
              <w:t>预</w:t>
            </w:r>
            <w:r>
              <w:rPr>
                <w:rFonts w:ascii="Times New Roman" w:eastAsia="Times New Roman"/>
                <w:position w:val="-10"/>
                <w:sz w:val="24"/>
              </w:rPr>
              <w:t>=10lg[10</w:t>
            </w:r>
            <w:r>
              <w:rPr>
                <w:rFonts w:ascii="Times New Roman" w:eastAsia="Times New Roman"/>
                <w:sz w:val="16"/>
              </w:rPr>
              <w:t>0.1L(Aeq)</w:t>
              <w:tab/>
              <w:t>0.1(LAeq)</w:t>
            </w:r>
          </w:p>
          <w:p>
            <w:pPr>
              <w:pStyle w:val="TableParagraph"/>
              <w:tabs>
                <w:tab w:pos="1779" w:val="left" w:leader="none"/>
              </w:tabs>
              <w:spacing w:line="156" w:lineRule="exact"/>
              <w:ind w:left="612"/>
              <w:rPr>
                <w:rFonts w:ascii="Times New Roman" w:eastAsia="Times New Roman"/>
                <w:sz w:val="24"/>
              </w:rPr>
            </w:pPr>
            <w:r>
              <w:rPr>
                <w:position w:val="12"/>
                <w:sz w:val="12"/>
              </w:rPr>
              <w:t>交</w:t>
            </w:r>
            <w:r>
              <w:rPr>
                <w:rFonts w:ascii="Times New Roman" w:eastAsia="Times New Roman"/>
                <w:sz w:val="24"/>
              </w:rPr>
              <w:t>+10</w:t>
              <w:tab/>
            </w:r>
            <w:r>
              <w:rPr>
                <w:position w:val="12"/>
                <w:sz w:val="12"/>
              </w:rPr>
              <w:t>背</w:t>
            </w:r>
            <w:r>
              <w:rPr>
                <w:rFonts w:ascii="Times New Roman" w:eastAsia="Times New Roman"/>
                <w:sz w:val="24"/>
              </w:rPr>
              <w:t>]</w:t>
            </w:r>
          </w:p>
          <w:p>
            <w:pPr>
              <w:pStyle w:val="TableParagraph"/>
              <w:spacing w:before="135"/>
              <w:ind w:left="583"/>
              <w:jc w:val="left"/>
              <w:rPr>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Aeq</w:t>
            </w:r>
            <w:r>
              <w:rPr>
                <w:position w:val="-1"/>
                <w:sz w:val="12"/>
              </w:rPr>
              <w:t>预</w:t>
            </w:r>
            <w:r>
              <w:rPr>
                <w:rFonts w:ascii="Times New Roman" w:hAnsi="Times New Roman" w:eastAsia="Times New Roman"/>
                <w:sz w:val="24"/>
              </w:rPr>
              <w:t>——</w:t>
            </w:r>
            <w:r>
              <w:rPr>
                <w:sz w:val="24"/>
              </w:rPr>
              <w:t>预测点昼间或夜间的环境噪声预测值，</w:t>
            </w:r>
            <w:r>
              <w:rPr>
                <w:rFonts w:ascii="Times New Roman" w:hAnsi="Times New Roman" w:eastAsia="Times New Roman"/>
                <w:sz w:val="24"/>
              </w:rPr>
              <w:t>dB</w:t>
            </w:r>
            <w:r>
              <w:rPr>
                <w:sz w:val="24"/>
              </w:rPr>
              <w:t>；</w:t>
            </w:r>
          </w:p>
          <w:p>
            <w:pPr>
              <w:pStyle w:val="TableParagraph"/>
              <w:spacing w:before="120"/>
              <w:ind w:left="583"/>
              <w:jc w:val="left"/>
              <w:rPr>
                <w:sz w:val="24"/>
              </w:rPr>
            </w:pPr>
            <w:r>
              <w:rPr>
                <w:sz w:val="24"/>
              </w:rPr>
              <w:t>（</w:t>
            </w:r>
            <w:r>
              <w:rPr>
                <w:rFonts w:ascii="Times New Roman" w:eastAsia="Times New Roman"/>
                <w:sz w:val="24"/>
              </w:rPr>
              <w:t>6</w:t>
            </w:r>
            <w:r>
              <w:rPr>
                <w:sz w:val="24"/>
              </w:rPr>
              <w:t>）预测参数</w:t>
            </w:r>
          </w:p>
          <w:p>
            <w:pPr>
              <w:pStyle w:val="TableParagraph"/>
              <w:spacing w:before="135"/>
              <w:ind w:left="583"/>
              <w:jc w:val="left"/>
              <w:rPr>
                <w:sz w:val="24"/>
              </w:rPr>
            </w:pPr>
            <w:r>
              <w:rPr>
                <w:sz w:val="24"/>
              </w:rPr>
              <w:t>①交通量</w:t>
            </w:r>
          </w:p>
          <w:p>
            <w:pPr>
              <w:pStyle w:val="TableParagraph"/>
              <w:spacing w:line="348" w:lineRule="auto" w:before="151"/>
              <w:ind w:left="103" w:right="99" w:firstLine="479"/>
              <w:jc w:val="both"/>
              <w:rPr>
                <w:sz w:val="24"/>
              </w:rPr>
            </w:pPr>
            <w:r>
              <w:rPr>
                <w:spacing w:val="-10"/>
                <w:sz w:val="24"/>
              </w:rPr>
              <w:t>根据《环境影响评价技术导则 声环境》</w:t>
            </w:r>
            <w:r>
              <w:rPr>
                <w:sz w:val="24"/>
              </w:rPr>
              <w:t>（</w:t>
            </w:r>
            <w:r>
              <w:rPr>
                <w:rFonts w:ascii="Times New Roman" w:eastAsia="Times New Roman"/>
                <w:sz w:val="24"/>
              </w:rPr>
              <w:t>HJ2.4-2009</w:t>
            </w:r>
            <w:r>
              <w:rPr>
                <w:sz w:val="24"/>
              </w:rPr>
              <w:t>）</w:t>
            </w:r>
            <w:r>
              <w:rPr>
                <w:spacing w:val="-1"/>
                <w:sz w:val="24"/>
              </w:rPr>
              <w:t>要求，运营期声源为</w:t>
            </w:r>
            <w:r>
              <w:rPr>
                <w:spacing w:val="-9"/>
                <w:sz w:val="24"/>
              </w:rPr>
              <w:t>流动声源，分别对工程的运行近期、中期、远期做环境影响评价，本项目交通预</w:t>
            </w:r>
            <w:r>
              <w:rPr>
                <w:spacing w:val="-1"/>
                <w:sz w:val="24"/>
              </w:rPr>
              <w:t>测量见下表。</w:t>
            </w:r>
          </w:p>
          <w:p>
            <w:pPr>
              <w:pStyle w:val="TableParagraph"/>
              <w:tabs>
                <w:tab w:pos="861" w:val="left" w:leader="none"/>
                <w:tab w:pos="3274" w:val="left" w:leader="none"/>
              </w:tabs>
              <w:spacing w:before="43"/>
              <w:rPr>
                <w:rFonts w:ascii="Times New Roman" w:eastAsia="Times New Roman"/>
                <w:b/>
                <w:sz w:val="24"/>
              </w:rPr>
            </w:pPr>
            <w:r>
              <w:rPr>
                <w:b/>
                <w:sz w:val="24"/>
              </w:rPr>
              <w:t>表</w:t>
            </w:r>
            <w:r>
              <w:rPr>
                <w:b/>
                <w:spacing w:val="-60"/>
                <w:sz w:val="24"/>
              </w:rPr>
              <w:t> </w:t>
            </w:r>
            <w:r>
              <w:rPr>
                <w:rFonts w:ascii="Times New Roman" w:eastAsia="Times New Roman"/>
                <w:b/>
                <w:sz w:val="24"/>
              </w:rPr>
              <w:t>7-5</w:t>
              <w:tab/>
            </w:r>
            <w:r>
              <w:rPr>
                <w:b/>
                <w:sz w:val="24"/>
              </w:rPr>
              <w:t>交通预测量结果表</w:t>
              <w:tab/>
            </w:r>
            <w:r>
              <w:rPr>
                <w:rFonts w:ascii="Times New Roman" w:eastAsia="Times New Roman"/>
                <w:b/>
                <w:sz w:val="24"/>
              </w:rPr>
              <w:t>(pcu/d)</w:t>
            </w:r>
          </w:p>
        </w:tc>
      </w:tr>
      <w:tr>
        <w:trPr>
          <w:trHeight w:val="343" w:hRule="exact"/>
        </w:trPr>
        <w:tc>
          <w:tcPr>
            <w:tcW w:w="293" w:type="dxa"/>
            <w:vMerge w:val="restart"/>
            <w:tcBorders>
              <w:top w:val="nil"/>
              <w:right w:val="single" w:sz="8" w:space="0" w:color="000000"/>
            </w:tcBorders>
          </w:tcPr>
          <w:p>
            <w:pPr/>
          </w:p>
        </w:tc>
        <w:tc>
          <w:tcPr>
            <w:tcW w:w="4887" w:type="dxa"/>
            <w:tcBorders>
              <w:top w:val="single" w:sz="8" w:space="0" w:color="000000"/>
              <w:left w:val="single" w:sz="8" w:space="0" w:color="000000"/>
              <w:bottom w:val="single" w:sz="6" w:space="0" w:color="000000"/>
              <w:right w:val="single" w:sz="6" w:space="0" w:color="000000"/>
            </w:tcBorders>
          </w:tcPr>
          <w:p>
            <w:pPr>
              <w:pStyle w:val="TableParagraph"/>
              <w:spacing w:line="267" w:lineRule="exact"/>
              <w:ind w:left="2096" w:right="2096"/>
              <w:rPr>
                <w:b/>
                <w:sz w:val="21"/>
              </w:rPr>
            </w:pPr>
            <w:r>
              <w:rPr>
                <w:b/>
                <w:sz w:val="21"/>
              </w:rPr>
              <w:t>特征年</w:t>
            </w:r>
          </w:p>
        </w:tc>
        <w:tc>
          <w:tcPr>
            <w:tcW w:w="3058" w:type="dxa"/>
            <w:tcBorders>
              <w:top w:val="single" w:sz="8" w:space="0" w:color="000000"/>
              <w:left w:val="single" w:sz="6" w:space="0" w:color="000000"/>
              <w:bottom w:val="single" w:sz="6" w:space="0" w:color="000000"/>
              <w:right w:val="single" w:sz="8" w:space="0" w:color="000000"/>
            </w:tcBorders>
          </w:tcPr>
          <w:p>
            <w:pPr>
              <w:pStyle w:val="TableParagraph"/>
              <w:spacing w:line="267" w:lineRule="exact"/>
              <w:ind w:left="1183" w:right="1185"/>
              <w:rPr>
                <w:b/>
                <w:sz w:val="21"/>
              </w:rPr>
            </w:pPr>
            <w:r>
              <w:rPr>
                <w:b/>
                <w:sz w:val="21"/>
              </w:rPr>
              <w:t>交通量</w:t>
            </w:r>
          </w:p>
        </w:tc>
        <w:tc>
          <w:tcPr>
            <w:tcW w:w="293" w:type="dxa"/>
            <w:vMerge w:val="restart"/>
            <w:tcBorders>
              <w:top w:val="nil"/>
              <w:left w:val="single" w:sz="8" w:space="0" w:color="000000"/>
            </w:tcBorders>
          </w:tcPr>
          <w:p>
            <w:pPr/>
          </w:p>
        </w:tc>
      </w:tr>
      <w:tr>
        <w:trPr>
          <w:trHeight w:val="358" w:hRule="exact"/>
        </w:trPr>
        <w:tc>
          <w:tcPr>
            <w:tcW w:w="293" w:type="dxa"/>
            <w:vMerge/>
            <w:tcBorders>
              <w:right w:val="single" w:sz="8" w:space="0" w:color="000000"/>
            </w:tcBorders>
          </w:tcPr>
          <w:p>
            <w:pPr/>
          </w:p>
        </w:tc>
        <w:tc>
          <w:tcPr>
            <w:tcW w:w="4887" w:type="dxa"/>
            <w:tcBorders>
              <w:top w:val="single" w:sz="6" w:space="0" w:color="000000"/>
              <w:left w:val="single" w:sz="8" w:space="0" w:color="000000"/>
              <w:bottom w:val="single" w:sz="12" w:space="0" w:color="000000"/>
              <w:right w:val="single" w:sz="6" w:space="0" w:color="000000"/>
            </w:tcBorders>
          </w:tcPr>
          <w:p>
            <w:pPr>
              <w:pStyle w:val="TableParagraph"/>
              <w:spacing w:before="37"/>
              <w:ind w:left="2096" w:right="2096"/>
              <w:rPr>
                <w:rFonts w:ascii="Times New Roman"/>
                <w:sz w:val="21"/>
              </w:rPr>
            </w:pPr>
            <w:r>
              <w:rPr>
                <w:rFonts w:ascii="Times New Roman"/>
                <w:sz w:val="21"/>
              </w:rPr>
              <w:t>2018</w:t>
            </w:r>
          </w:p>
        </w:tc>
        <w:tc>
          <w:tcPr>
            <w:tcW w:w="3058" w:type="dxa"/>
            <w:tcBorders>
              <w:top w:val="single" w:sz="6" w:space="0" w:color="000000"/>
              <w:left w:val="single" w:sz="6" w:space="0" w:color="000000"/>
              <w:bottom w:val="single" w:sz="12" w:space="0" w:color="000000"/>
              <w:right w:val="single" w:sz="8" w:space="0" w:color="000000"/>
            </w:tcBorders>
          </w:tcPr>
          <w:p>
            <w:pPr>
              <w:pStyle w:val="TableParagraph"/>
              <w:spacing w:before="37"/>
              <w:ind w:left="1183" w:right="1182"/>
              <w:rPr>
                <w:rFonts w:ascii="Times New Roman"/>
                <w:sz w:val="21"/>
              </w:rPr>
            </w:pPr>
            <w:r>
              <w:rPr>
                <w:rFonts w:ascii="Times New Roman"/>
                <w:sz w:val="21"/>
              </w:rPr>
              <w:t>278</w:t>
            </w:r>
          </w:p>
        </w:tc>
        <w:tc>
          <w:tcPr>
            <w:tcW w:w="293" w:type="dxa"/>
            <w:vMerge/>
            <w:tcBorders>
              <w:left w:val="single" w:sz="8" w:space="0" w:color="000000"/>
            </w:tcBorders>
          </w:tcPr>
          <w:p>
            <w:pPr/>
          </w:p>
        </w:tc>
      </w:tr>
    </w:tbl>
    <w:p>
      <w:pPr>
        <w:rPr>
          <w:sz w:val="2"/>
          <w:szCs w:val="2"/>
        </w:rPr>
      </w:pPr>
      <w:r>
        <w:rPr/>
        <w:pict>
          <v:group style="position:absolute;margin-left:89.893997pt;margin-top:442.139954pt;width:415.8pt;height:82pt;mso-position-horizontal-relative:page;mso-position-vertical-relative:page;z-index:-197272" coordorigin="1798,8843" coordsize="8316,1640">
            <v:line style="position:absolute" from="1808,8853" to="5950,8853" stroked="true" strokeweight=".48001pt" strokecolor="#000000">
              <v:stroke dashstyle="solid"/>
            </v:line>
            <v:line style="position:absolute" from="5960,8853" to="10104,8853" stroked="true" strokeweight=".48001pt" strokecolor="#000000">
              <v:stroke dashstyle="solid"/>
            </v:line>
            <v:line style="position:absolute" from="1808,9201" to="5950,9201" stroked="true" strokeweight=".48001pt" strokecolor="#000000">
              <v:stroke dashstyle="solid"/>
            </v:line>
            <v:line style="position:absolute" from="5960,9201" to="10104,9201" stroked="true" strokeweight=".48001pt" strokecolor="#000000">
              <v:stroke dashstyle="solid"/>
            </v:line>
            <v:line style="position:absolute" from="1808,9551" to="5950,9551" stroked="true" strokeweight=".47998pt" strokecolor="#000000">
              <v:stroke dashstyle="solid"/>
            </v:line>
            <v:line style="position:absolute" from="5960,9551" to="10104,9551" stroked="true" strokeweight=".47998pt" strokecolor="#000000">
              <v:stroke dashstyle="solid"/>
            </v:line>
            <v:line style="position:absolute" from="1808,9901" to="5950,9901" stroked="true" strokeweight=".48001pt" strokecolor="#000000">
              <v:stroke dashstyle="solid"/>
            </v:line>
            <v:line style="position:absolute" from="5960,9901" to="10104,9901" stroked="true" strokeweight=".48001pt" strokecolor="#000000">
              <v:stroke dashstyle="solid"/>
            </v:line>
            <v:line style="position:absolute" from="1803,8848" to="1803,10477" stroked="true" strokeweight=".48pt" strokecolor="#000000">
              <v:stroke dashstyle="solid"/>
            </v:line>
            <v:line style="position:absolute" from="1808,10473" to="5950,10473" stroked="true" strokeweight=".47998pt" strokecolor="#000000">
              <v:stroke dashstyle="solid"/>
            </v:line>
            <v:line style="position:absolute" from="5955,8848" to="5955,10477" stroked="true" strokeweight=".47998pt" strokecolor="#000000">
              <v:stroke dashstyle="solid"/>
            </v:line>
            <v:line style="position:absolute" from="5960,10473" to="10104,10473" stroked="true" strokeweight=".47998pt" strokecolor="#000000">
              <v:stroke dashstyle="solid"/>
            </v:line>
            <v:line style="position:absolute" from="10108,8848" to="10108,10477" stroked="true" strokeweight=".48001pt" strokecolor="#000000">
              <v:stroke dashstyle="solid"/>
            </v:line>
            <w10:wrap type="none"/>
          </v:group>
        </w:pict>
      </w:r>
      <w:r>
        <w:rPr/>
        <w:pict>
          <v:shape style="position:absolute;margin-left:90.143997pt;margin-top:442.629974pt;width:415.3pt;height:81pt;mso-position-horizontal-relative:page;mso-position-vertical-relative:page;z-index:31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153"/>
                    <w:gridCol w:w="4153"/>
                  </w:tblGrid>
                  <w:tr>
                    <w:trPr>
                      <w:trHeight w:val="348"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571" w:hRule="exact"/>
                    </w:trPr>
                    <w:tc>
                      <w:tcPr>
                        <w:tcW w:w="4153" w:type="dxa"/>
                      </w:tcPr>
                      <w:p>
                        <w:pPr/>
                      </w:p>
                    </w:tc>
                    <w:tc>
                      <w:tcPr>
                        <w:tcW w:w="4153"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595"/>
        <w:gridCol w:w="782"/>
        <w:gridCol w:w="713"/>
        <w:gridCol w:w="840"/>
        <w:gridCol w:w="583"/>
        <w:gridCol w:w="499"/>
        <w:gridCol w:w="490"/>
        <w:gridCol w:w="384"/>
        <w:gridCol w:w="132"/>
        <w:gridCol w:w="518"/>
        <w:gridCol w:w="518"/>
        <w:gridCol w:w="521"/>
        <w:gridCol w:w="531"/>
        <w:gridCol w:w="509"/>
        <w:gridCol w:w="329"/>
        <w:gridCol w:w="293"/>
      </w:tblGrid>
      <w:tr>
        <w:trPr>
          <w:trHeight w:val="358" w:hRule="exact"/>
        </w:trPr>
        <w:tc>
          <w:tcPr>
            <w:tcW w:w="293" w:type="dxa"/>
            <w:vMerge w:val="restart"/>
            <w:tcBorders>
              <w:right w:val="single" w:sz="8" w:space="0" w:color="000000"/>
            </w:tcBorders>
          </w:tcPr>
          <w:p>
            <w:pPr/>
          </w:p>
        </w:tc>
        <w:tc>
          <w:tcPr>
            <w:tcW w:w="4887" w:type="dxa"/>
            <w:gridSpan w:val="8"/>
            <w:tcBorders>
              <w:top w:val="single" w:sz="8" w:space="0" w:color="000000"/>
              <w:left w:val="single" w:sz="8" w:space="0" w:color="000000"/>
              <w:bottom w:val="single" w:sz="6" w:space="0" w:color="000000"/>
              <w:right w:val="single" w:sz="6" w:space="0" w:color="000000"/>
            </w:tcBorders>
          </w:tcPr>
          <w:p>
            <w:pPr>
              <w:pStyle w:val="TableParagraph"/>
              <w:spacing w:before="46"/>
              <w:ind w:left="2096" w:right="2096"/>
              <w:rPr>
                <w:rFonts w:ascii="Times New Roman"/>
                <w:sz w:val="21"/>
              </w:rPr>
            </w:pPr>
            <w:r>
              <w:rPr>
                <w:rFonts w:ascii="Times New Roman"/>
                <w:sz w:val="21"/>
              </w:rPr>
              <w:t>2023</w:t>
            </w:r>
          </w:p>
        </w:tc>
        <w:tc>
          <w:tcPr>
            <w:tcW w:w="3058" w:type="dxa"/>
            <w:gridSpan w:val="7"/>
            <w:tcBorders>
              <w:top w:val="single" w:sz="8" w:space="0" w:color="000000"/>
              <w:left w:val="single" w:sz="6" w:space="0" w:color="000000"/>
              <w:bottom w:val="single" w:sz="6" w:space="0" w:color="000000"/>
              <w:right w:val="single" w:sz="8" w:space="0" w:color="000000"/>
            </w:tcBorders>
          </w:tcPr>
          <w:p>
            <w:pPr>
              <w:pStyle w:val="TableParagraph"/>
              <w:spacing w:before="46"/>
              <w:ind w:left="1183" w:right="1182"/>
              <w:rPr>
                <w:rFonts w:ascii="Times New Roman"/>
                <w:sz w:val="21"/>
              </w:rPr>
            </w:pPr>
            <w:r>
              <w:rPr>
                <w:rFonts w:ascii="Times New Roman"/>
                <w:sz w:val="21"/>
              </w:rPr>
              <w:t>399</w:t>
            </w:r>
          </w:p>
        </w:tc>
        <w:tc>
          <w:tcPr>
            <w:tcW w:w="293" w:type="dxa"/>
            <w:vMerge w:val="restart"/>
            <w:tcBorders>
              <w:left w:val="single" w:sz="8" w:space="0" w:color="000000"/>
            </w:tcBorders>
          </w:tcPr>
          <w:p>
            <w:pPr/>
          </w:p>
        </w:tc>
      </w:tr>
      <w:tr>
        <w:trPr>
          <w:trHeight w:val="346" w:hRule="exact"/>
        </w:trPr>
        <w:tc>
          <w:tcPr>
            <w:tcW w:w="293" w:type="dxa"/>
            <w:vMerge/>
            <w:tcBorders>
              <w:bottom w:val="nil"/>
              <w:right w:val="single" w:sz="8" w:space="0" w:color="000000"/>
            </w:tcBorders>
          </w:tcPr>
          <w:p>
            <w:pPr/>
          </w:p>
        </w:tc>
        <w:tc>
          <w:tcPr>
            <w:tcW w:w="4887" w:type="dxa"/>
            <w:gridSpan w:val="8"/>
            <w:tcBorders>
              <w:top w:val="single" w:sz="6" w:space="0" w:color="000000"/>
              <w:left w:val="single" w:sz="8" w:space="0" w:color="000000"/>
              <w:bottom w:val="single" w:sz="8" w:space="0" w:color="000000"/>
              <w:right w:val="single" w:sz="6" w:space="0" w:color="000000"/>
            </w:tcBorders>
          </w:tcPr>
          <w:p>
            <w:pPr>
              <w:pStyle w:val="TableParagraph"/>
              <w:spacing w:before="31"/>
              <w:ind w:left="2096" w:right="2096"/>
              <w:rPr>
                <w:rFonts w:ascii="Times New Roman"/>
                <w:sz w:val="21"/>
              </w:rPr>
            </w:pPr>
            <w:r>
              <w:rPr>
                <w:rFonts w:ascii="Times New Roman"/>
                <w:sz w:val="21"/>
              </w:rPr>
              <w:t>2028</w:t>
            </w:r>
          </w:p>
        </w:tc>
        <w:tc>
          <w:tcPr>
            <w:tcW w:w="3058" w:type="dxa"/>
            <w:gridSpan w:val="7"/>
            <w:tcBorders>
              <w:top w:val="single" w:sz="6" w:space="0" w:color="000000"/>
              <w:left w:val="single" w:sz="6" w:space="0" w:color="000000"/>
              <w:bottom w:val="single" w:sz="8" w:space="0" w:color="000000"/>
              <w:right w:val="single" w:sz="8" w:space="0" w:color="000000"/>
            </w:tcBorders>
          </w:tcPr>
          <w:p>
            <w:pPr>
              <w:pStyle w:val="TableParagraph"/>
              <w:spacing w:before="31"/>
              <w:ind w:left="1183" w:right="1182"/>
              <w:rPr>
                <w:rFonts w:ascii="Times New Roman"/>
                <w:sz w:val="21"/>
              </w:rPr>
            </w:pPr>
            <w:r>
              <w:rPr>
                <w:rFonts w:ascii="Times New Roman"/>
                <w:sz w:val="21"/>
              </w:rPr>
              <w:t>496</w:t>
            </w:r>
          </w:p>
        </w:tc>
        <w:tc>
          <w:tcPr>
            <w:tcW w:w="293" w:type="dxa"/>
            <w:vMerge/>
            <w:tcBorders>
              <w:left w:val="single" w:sz="8" w:space="0" w:color="000000"/>
              <w:bottom w:val="nil"/>
            </w:tcBorders>
          </w:tcPr>
          <w:p>
            <w:pPr/>
          </w:p>
        </w:tc>
      </w:tr>
      <w:tr>
        <w:trPr>
          <w:trHeight w:val="10127" w:hRule="exact"/>
        </w:trPr>
        <w:tc>
          <w:tcPr>
            <w:tcW w:w="8531" w:type="dxa"/>
            <w:gridSpan w:val="17"/>
            <w:tcBorders>
              <w:top w:val="nil"/>
            </w:tcBorders>
          </w:tcPr>
          <w:p>
            <w:pPr>
              <w:pStyle w:val="TableParagraph"/>
              <w:spacing w:line="296" w:lineRule="exact"/>
              <w:ind w:left="585"/>
              <w:jc w:val="left"/>
              <w:rPr>
                <w:sz w:val="24"/>
              </w:rPr>
            </w:pPr>
            <w:r>
              <w:rPr>
                <w:sz w:val="24"/>
              </w:rPr>
              <w:t>按照交通特征，昼夜间比例为</w:t>
            </w:r>
            <w:r>
              <w:rPr>
                <w:rFonts w:ascii="Times New Roman" w:eastAsia="Times New Roman"/>
                <w:sz w:val="24"/>
              </w:rPr>
              <w:t>7</w:t>
            </w:r>
            <w:r>
              <w:rPr>
                <w:sz w:val="24"/>
              </w:rPr>
              <w:t>：</w:t>
            </w:r>
            <w:r>
              <w:rPr>
                <w:rFonts w:ascii="Times New Roman" w:eastAsia="Times New Roman"/>
                <w:sz w:val="24"/>
              </w:rPr>
              <w:t>1</w:t>
            </w:r>
            <w:r>
              <w:rPr>
                <w:sz w:val="24"/>
              </w:rPr>
              <w:t>。</w:t>
            </w:r>
          </w:p>
          <w:p>
            <w:pPr>
              <w:pStyle w:val="TableParagraph"/>
              <w:spacing w:before="133"/>
              <w:ind w:left="583"/>
              <w:jc w:val="left"/>
              <w:rPr>
                <w:sz w:val="24"/>
              </w:rPr>
            </w:pPr>
            <w:r>
              <w:rPr>
                <w:sz w:val="24"/>
              </w:rPr>
              <w:t>②敏感点</w:t>
            </w:r>
          </w:p>
          <w:p>
            <w:pPr>
              <w:pStyle w:val="TableParagraph"/>
              <w:spacing w:line="350" w:lineRule="auto" w:before="153"/>
              <w:ind w:left="103" w:right="-16" w:firstLine="479"/>
              <w:jc w:val="left"/>
              <w:rPr>
                <w:sz w:val="24"/>
              </w:rPr>
            </w:pPr>
            <w:r>
              <w:rPr>
                <w:spacing w:val="-10"/>
                <w:sz w:val="24"/>
              </w:rPr>
              <w:t>本项目道路周边 </w:t>
            </w:r>
            <w:r>
              <w:rPr>
                <w:rFonts w:ascii="Times New Roman" w:eastAsia="Times New Roman"/>
                <w:sz w:val="24"/>
              </w:rPr>
              <w:t>200m</w:t>
            </w:r>
            <w:r>
              <w:rPr>
                <w:rFonts w:ascii="Times New Roman" w:eastAsia="Times New Roman"/>
                <w:spacing w:val="-17"/>
                <w:sz w:val="24"/>
              </w:rPr>
              <w:t> </w:t>
            </w:r>
            <w:r>
              <w:rPr>
                <w:spacing w:val="-8"/>
                <w:sz w:val="24"/>
              </w:rPr>
              <w:t>范围内敏感点为沿线两侧面居民，本次环评进行预测。</w:t>
            </w:r>
            <w:r>
              <w:rPr>
                <w:spacing w:val="1"/>
                <w:sz w:val="24"/>
              </w:rPr>
              <w:t>各处噪声预测点位原则上直接采用噪声现状监测结果反映敏感点附近的声学环</w:t>
            </w:r>
            <w:r>
              <w:rPr>
                <w:sz w:val="24"/>
              </w:rPr>
              <w:t>境现状值，但其中如受现有交通噪声影响较为突出，致使监测结果严重偏大的， </w:t>
            </w:r>
            <w:r>
              <w:rPr>
                <w:spacing w:val="-3"/>
                <w:sz w:val="24"/>
              </w:rPr>
              <w:t>在计算时进行适当的修正。本次评价对噪声敏感点预测取 </w:t>
            </w:r>
            <w:r>
              <w:rPr>
                <w:rFonts w:ascii="Times New Roman" w:eastAsia="Times New Roman"/>
                <w:sz w:val="24"/>
              </w:rPr>
              <w:t>2018 </w:t>
            </w:r>
            <w:r>
              <w:rPr>
                <w:sz w:val="24"/>
              </w:rPr>
              <w:t>年（营运近期</w:t>
            </w:r>
            <w:r>
              <w:rPr>
                <w:spacing w:val="-120"/>
                <w:sz w:val="24"/>
              </w:rPr>
              <w:t>）</w:t>
            </w:r>
            <w:r>
              <w:rPr>
                <w:sz w:val="24"/>
              </w:rPr>
              <w:t>、</w:t>
            </w:r>
          </w:p>
          <w:p>
            <w:pPr>
              <w:pStyle w:val="TableParagraph"/>
              <w:spacing w:before="13"/>
              <w:ind w:left="103"/>
              <w:jc w:val="left"/>
              <w:rPr>
                <w:sz w:val="24"/>
              </w:rPr>
            </w:pPr>
            <w:r>
              <w:rPr>
                <w:rFonts w:ascii="Times New Roman" w:eastAsia="Times New Roman"/>
                <w:sz w:val="24"/>
              </w:rPr>
              <w:t>2023 </w:t>
            </w:r>
            <w:r>
              <w:rPr>
                <w:sz w:val="24"/>
              </w:rPr>
              <w:t>年（营运中期）和 </w:t>
            </w:r>
            <w:r>
              <w:rPr>
                <w:rFonts w:ascii="Times New Roman" w:eastAsia="Times New Roman"/>
                <w:sz w:val="24"/>
              </w:rPr>
              <w:t>2028 </w:t>
            </w:r>
            <w:r>
              <w:rPr>
                <w:sz w:val="24"/>
              </w:rPr>
              <w:t>年（营运远期）</w:t>
            </w:r>
            <w:r>
              <w:rPr>
                <w:rFonts w:ascii="Times New Roman" w:eastAsia="Times New Roman"/>
                <w:sz w:val="24"/>
              </w:rPr>
              <w:t>3 </w:t>
            </w:r>
            <w:r>
              <w:rPr>
                <w:sz w:val="24"/>
              </w:rPr>
              <w:t>个年份进行统计。</w:t>
            </w:r>
          </w:p>
          <w:p>
            <w:pPr>
              <w:pStyle w:val="TableParagraph"/>
              <w:spacing w:before="133"/>
              <w:ind w:left="583"/>
              <w:jc w:val="left"/>
              <w:rPr>
                <w:sz w:val="24"/>
              </w:rPr>
            </w:pPr>
            <w:r>
              <w:rPr>
                <w:sz w:val="24"/>
              </w:rPr>
              <w:t>③车速</w:t>
            </w:r>
          </w:p>
          <w:p>
            <w:pPr>
              <w:pStyle w:val="TableParagraph"/>
              <w:spacing w:line="338" w:lineRule="auto" w:before="154"/>
              <w:ind w:left="103" w:right="101" w:firstLine="479"/>
              <w:jc w:val="both"/>
              <w:rPr>
                <w:sz w:val="24"/>
              </w:rPr>
            </w:pPr>
            <w:r>
              <w:rPr>
                <w:spacing w:val="-3"/>
                <w:sz w:val="24"/>
              </w:rPr>
              <w:t>根据《环境影响评价技术导则</w:t>
            </w:r>
            <w:r>
              <w:rPr>
                <w:rFonts w:ascii="Times New Roman" w:eastAsia="Times New Roman"/>
                <w:sz w:val="24"/>
              </w:rPr>
              <w:t>-</w:t>
            </w:r>
            <w:r>
              <w:rPr>
                <w:spacing w:val="-32"/>
                <w:sz w:val="24"/>
              </w:rPr>
              <w:t>声环境》</w:t>
            </w:r>
            <w:r>
              <w:rPr>
                <w:sz w:val="24"/>
              </w:rPr>
              <w:t>（</w:t>
            </w:r>
            <w:r>
              <w:rPr>
                <w:rFonts w:ascii="Times New Roman" w:eastAsia="Times New Roman"/>
                <w:sz w:val="24"/>
              </w:rPr>
              <w:t>HJ 2.4-2009</w:t>
            </w:r>
            <w:r>
              <w:rPr>
                <w:sz w:val="24"/>
              </w:rPr>
              <w:t>）</w:t>
            </w:r>
            <w:r>
              <w:rPr>
                <w:spacing w:val="-3"/>
                <w:sz w:val="24"/>
              </w:rPr>
              <w:t>并参照《公路建设项目环境影响评价规范</w:t>
            </w:r>
            <w:r>
              <w:rPr>
                <w:spacing w:val="-161"/>
                <w:sz w:val="24"/>
              </w:rPr>
              <w:t>》</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z w:val="24"/>
              </w:rPr>
              <w:t> </w:t>
            </w:r>
            <w:r>
              <w:rPr>
                <w:rFonts w:ascii="Times New Roman" w:eastAsia="Times New Roman"/>
                <w:spacing w:val="-3"/>
                <w:sz w:val="24"/>
              </w:rPr>
              <w:t>B</w:t>
            </w:r>
            <w:r>
              <w:rPr>
                <w:rFonts w:ascii="Times New Roman" w:eastAsia="Times New Roman"/>
                <w:sz w:val="24"/>
              </w:rPr>
              <w:t>03</w:t>
            </w:r>
            <w:r>
              <w:rPr>
                <w:rFonts w:ascii="Times New Roman" w:eastAsia="Times New Roman"/>
                <w:spacing w:val="-1"/>
                <w:sz w:val="24"/>
              </w:rPr>
              <w:t>-</w:t>
            </w:r>
            <w:r>
              <w:rPr>
                <w:rFonts w:ascii="Times New Roman" w:eastAsia="Times New Roman"/>
                <w:sz w:val="24"/>
              </w:rPr>
              <w:t>2006</w:t>
            </w:r>
            <w:r>
              <w:rPr>
                <w:spacing w:val="-120"/>
                <w:sz w:val="24"/>
              </w:rPr>
              <w:t>）</w:t>
            </w:r>
            <w:r>
              <w:rPr>
                <w:spacing w:val="-7"/>
                <w:sz w:val="24"/>
              </w:rPr>
              <w:t>，确定各类车辆在不同车速下的平均辐射</w:t>
            </w:r>
            <w:r>
              <w:rPr>
                <w:spacing w:val="-1"/>
                <w:sz w:val="24"/>
              </w:rPr>
              <w:t>声级，详见下表。</w:t>
            </w:r>
          </w:p>
          <w:p>
            <w:pPr>
              <w:pStyle w:val="TableParagraph"/>
              <w:tabs>
                <w:tab w:pos="861" w:val="left" w:leader="none"/>
              </w:tabs>
              <w:spacing w:before="55"/>
              <w:ind w:right="1"/>
              <w:rPr>
                <w:b/>
                <w:sz w:val="24"/>
              </w:rPr>
            </w:pPr>
            <w:r>
              <w:rPr>
                <w:b/>
                <w:sz w:val="24"/>
              </w:rPr>
              <w:t>表</w:t>
            </w:r>
            <w:r>
              <w:rPr>
                <w:b/>
                <w:spacing w:val="-60"/>
                <w:sz w:val="24"/>
              </w:rPr>
              <w:t> </w:t>
            </w:r>
            <w:r>
              <w:rPr>
                <w:rFonts w:ascii="Times New Roman" w:eastAsia="Times New Roman"/>
                <w:b/>
                <w:sz w:val="24"/>
              </w:rPr>
              <w:t>7-6</w:t>
              <w:tab/>
            </w:r>
            <w:r>
              <w:rPr>
                <w:b/>
                <w:w w:val="95"/>
                <w:sz w:val="24"/>
              </w:rPr>
              <w:t>各类型车的平均辐射声级</w:t>
            </w:r>
          </w:p>
          <w:p>
            <w:pPr>
              <w:pStyle w:val="TableParagraph"/>
              <w:tabs>
                <w:tab w:pos="2417" w:val="left" w:leader="none"/>
                <w:tab w:pos="6711" w:val="left" w:leader="none"/>
              </w:tabs>
              <w:spacing w:before="196"/>
              <w:ind w:left="419"/>
              <w:jc w:val="left"/>
              <w:rPr>
                <w:sz w:val="21"/>
              </w:rPr>
            </w:pPr>
            <w:r>
              <w:rPr>
                <w:sz w:val="21"/>
              </w:rPr>
              <w:t>车型</w:t>
              <w:tab/>
              <w:t>平均</w:t>
            </w:r>
            <w:r>
              <w:rPr>
                <w:spacing w:val="-3"/>
                <w:sz w:val="21"/>
              </w:rPr>
              <w:t>辐</w:t>
            </w:r>
            <w:r>
              <w:rPr>
                <w:sz w:val="21"/>
              </w:rPr>
              <w:t>射</w:t>
            </w:r>
            <w:r>
              <w:rPr>
                <w:spacing w:val="-3"/>
                <w:sz w:val="21"/>
              </w:rPr>
              <w:t>声</w:t>
            </w:r>
            <w:r>
              <w:rPr>
                <w:sz w:val="21"/>
              </w:rPr>
              <w:t>级</w:t>
            </w:r>
            <w:r>
              <w:rPr>
                <w:spacing w:val="2"/>
                <w:sz w:val="21"/>
              </w:rPr>
              <w:t> </w:t>
            </w:r>
            <w:r>
              <w:rPr>
                <w:rFonts w:ascii="Times New Roman" w:eastAsia="Times New Roman"/>
                <w:sz w:val="21"/>
              </w:rPr>
              <w:t>(dB)</w:t>
              <w:tab/>
            </w:r>
            <w:r>
              <w:rPr>
                <w:sz w:val="21"/>
              </w:rPr>
              <w:t>备注</w:t>
            </w:r>
          </w:p>
          <w:p>
            <w:pPr>
              <w:pStyle w:val="TableParagraph"/>
              <w:spacing w:line="268" w:lineRule="auto" w:before="63"/>
              <w:ind w:left="314" w:right="495"/>
              <w:jc w:val="both"/>
              <w:rPr>
                <w:sz w:val="21"/>
              </w:rPr>
            </w:pPr>
            <w:r>
              <w:rPr>
                <w:sz w:val="21"/>
              </w:rPr>
              <w:t>大型车      </w:t>
            </w: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L </w:t>
            </w:r>
            <w:r>
              <w:rPr>
                <w:sz w:val="21"/>
              </w:rPr>
              <w:t>大型车平均行驶速度中型车      </w:t>
            </w: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M </w:t>
            </w:r>
            <w:r>
              <w:rPr>
                <w:sz w:val="21"/>
              </w:rPr>
              <w:t>中型车平均行驶速度小型车      </w:t>
            </w: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S </w:t>
            </w:r>
            <w:r>
              <w:rPr>
                <w:sz w:val="21"/>
              </w:rPr>
              <w:t>小型车平均行驶速度注：本项目为城市市政道路，主要为小型车，故不做修正。</w:t>
            </w:r>
          </w:p>
          <w:p>
            <w:pPr>
              <w:pStyle w:val="TableParagraph"/>
              <w:spacing w:line="300" w:lineRule="exact"/>
              <w:ind w:left="583"/>
              <w:jc w:val="left"/>
              <w:rPr>
                <w:sz w:val="24"/>
              </w:rPr>
            </w:pPr>
            <w:r>
              <w:rPr>
                <w:sz w:val="24"/>
              </w:rPr>
              <w:t>按设计车速 </w:t>
            </w:r>
            <w:r>
              <w:rPr>
                <w:rFonts w:ascii="Times New Roman" w:eastAsia="Times New Roman"/>
                <w:sz w:val="24"/>
              </w:rPr>
              <w:t>20km/h  </w:t>
            </w:r>
            <w:r>
              <w:rPr>
                <w:sz w:val="24"/>
              </w:rPr>
              <w:t>计，本项目小型车、中型车、大型车平均辐射声级为</w:t>
            </w:r>
          </w:p>
          <w:p>
            <w:pPr>
              <w:pStyle w:val="TableParagraph"/>
              <w:spacing w:before="134"/>
              <w:ind w:left="103"/>
              <w:jc w:val="left"/>
              <w:rPr>
                <w:sz w:val="24"/>
              </w:rPr>
            </w:pPr>
            <w:r>
              <w:rPr>
                <w:rFonts w:ascii="Times New Roman" w:eastAsia="Times New Roman"/>
                <w:sz w:val="24"/>
              </w:rPr>
              <w:t>68.2dB</w:t>
            </w:r>
            <w:r>
              <w:rPr>
                <w:sz w:val="24"/>
              </w:rPr>
              <w:t>、</w:t>
            </w:r>
            <w:r>
              <w:rPr>
                <w:rFonts w:ascii="Times New Roman" w:eastAsia="Times New Roman"/>
                <w:sz w:val="24"/>
              </w:rPr>
              <w:t>73.7dB</w:t>
            </w:r>
            <w:r>
              <w:rPr>
                <w:sz w:val="24"/>
              </w:rPr>
              <w:t>、</w:t>
            </w:r>
            <w:r>
              <w:rPr>
                <w:rFonts w:ascii="Times New Roman" w:eastAsia="Times New Roman"/>
                <w:sz w:val="24"/>
              </w:rPr>
              <w:t>80.2dB</w:t>
            </w:r>
            <w:r>
              <w:rPr>
                <w:sz w:val="24"/>
              </w:rPr>
              <w:t>。</w:t>
            </w:r>
          </w:p>
          <w:p>
            <w:pPr>
              <w:pStyle w:val="TableParagraph"/>
              <w:spacing w:before="135"/>
              <w:ind w:left="585"/>
              <w:jc w:val="left"/>
              <w:rPr>
                <w:sz w:val="24"/>
              </w:rPr>
            </w:pPr>
            <w:r>
              <w:rPr>
                <w:sz w:val="24"/>
              </w:rPr>
              <w:t>（</w:t>
            </w:r>
            <w:r>
              <w:rPr>
                <w:rFonts w:ascii="Times New Roman" w:eastAsia="Times New Roman"/>
                <w:sz w:val="24"/>
              </w:rPr>
              <w:t>7</w:t>
            </w:r>
            <w:r>
              <w:rPr>
                <w:sz w:val="24"/>
              </w:rPr>
              <w:t>）交通噪声预测结果</w:t>
            </w:r>
          </w:p>
          <w:p>
            <w:pPr>
              <w:pStyle w:val="TableParagraph"/>
              <w:spacing w:line="338" w:lineRule="auto" w:before="132"/>
              <w:ind w:left="103" w:right="146" w:firstLine="479"/>
              <w:jc w:val="left"/>
              <w:rPr>
                <w:sz w:val="24"/>
              </w:rPr>
            </w:pPr>
            <w:r>
              <w:rPr>
                <w:sz w:val="24"/>
              </w:rPr>
              <w:t>本次预测采用宁波环科院编制的 </w:t>
            </w:r>
            <w:r>
              <w:rPr>
                <w:rFonts w:ascii="Times New Roman" w:eastAsia="Times New Roman"/>
                <w:sz w:val="24"/>
              </w:rPr>
              <w:t>EIAN2.0 </w:t>
            </w:r>
            <w:r>
              <w:rPr>
                <w:sz w:val="24"/>
              </w:rPr>
              <w:t>噪声预测软件进行噪声预测，结合项目实际情况，距道路不同距离处的噪声预测值见下表。</w:t>
            </w:r>
          </w:p>
          <w:p>
            <w:pPr>
              <w:pStyle w:val="TableParagraph"/>
              <w:tabs>
                <w:tab w:pos="861" w:val="left" w:leader="none"/>
              </w:tabs>
              <w:spacing w:before="53"/>
              <w:ind w:right="1"/>
              <w:rPr>
                <w:b/>
                <w:sz w:val="24"/>
              </w:rPr>
            </w:pPr>
            <w:r>
              <w:rPr>
                <w:b/>
                <w:sz w:val="24"/>
              </w:rPr>
              <w:t>表</w:t>
            </w:r>
            <w:r>
              <w:rPr>
                <w:b/>
                <w:spacing w:val="-60"/>
                <w:sz w:val="24"/>
              </w:rPr>
              <w:t> </w:t>
            </w:r>
            <w:r>
              <w:rPr>
                <w:rFonts w:ascii="Times New Roman" w:eastAsia="Times New Roman"/>
                <w:b/>
                <w:sz w:val="24"/>
              </w:rPr>
              <w:t>7-7</w:t>
              <w:tab/>
            </w:r>
            <w:r>
              <w:rPr>
                <w:b/>
                <w:w w:val="95"/>
                <w:sz w:val="24"/>
              </w:rPr>
              <w:t>营运期交通噪声预测一览表</w:t>
            </w:r>
          </w:p>
        </w:tc>
      </w:tr>
      <w:tr>
        <w:trPr>
          <w:trHeight w:val="281" w:hRule="exact"/>
        </w:trPr>
        <w:tc>
          <w:tcPr>
            <w:tcW w:w="1670" w:type="dxa"/>
            <w:gridSpan w:val="3"/>
          </w:tcPr>
          <w:p>
            <w:pPr>
              <w:pStyle w:val="TableParagraph"/>
              <w:spacing w:line="235" w:lineRule="exact"/>
              <w:ind w:left="568"/>
              <w:jc w:val="left"/>
              <w:rPr>
                <w:sz w:val="21"/>
              </w:rPr>
            </w:pPr>
            <w:r>
              <w:rPr>
                <w:sz w:val="21"/>
              </w:rPr>
              <w:t>营运期</w:t>
            </w:r>
          </w:p>
        </w:tc>
        <w:tc>
          <w:tcPr>
            <w:tcW w:w="1553" w:type="dxa"/>
            <w:gridSpan w:val="2"/>
            <w:vMerge w:val="restart"/>
          </w:tcPr>
          <w:p>
            <w:pPr>
              <w:pStyle w:val="TableParagraph"/>
              <w:spacing w:before="128"/>
              <w:ind w:left="542" w:right="540"/>
              <w:rPr>
                <w:sz w:val="21"/>
              </w:rPr>
            </w:pPr>
            <w:r>
              <w:rPr>
                <w:sz w:val="21"/>
              </w:rPr>
              <w:t>时段</w:t>
            </w:r>
          </w:p>
        </w:tc>
        <w:tc>
          <w:tcPr>
            <w:tcW w:w="5307" w:type="dxa"/>
            <w:gridSpan w:val="12"/>
          </w:tcPr>
          <w:p>
            <w:pPr>
              <w:pStyle w:val="TableParagraph"/>
              <w:spacing w:line="251" w:lineRule="exact"/>
              <w:ind w:left="407"/>
              <w:jc w:val="left"/>
              <w:rPr>
                <w:rFonts w:ascii="Times New Roman" w:eastAsia="Times New Roman"/>
                <w:sz w:val="21"/>
              </w:rPr>
            </w:pPr>
            <w:r>
              <w:rPr>
                <w:sz w:val="21"/>
              </w:rPr>
              <w:t>距道路中心线不同距离处交通噪声贡献值 </w:t>
            </w:r>
            <w:r>
              <w:rPr>
                <w:rFonts w:ascii="Times New Roman" w:eastAsia="Times New Roman"/>
                <w:sz w:val="21"/>
              </w:rPr>
              <w:t>dB(A)</w:t>
            </w:r>
          </w:p>
        </w:tc>
      </w:tr>
      <w:tr>
        <w:trPr>
          <w:trHeight w:val="341" w:hRule="exact"/>
        </w:trPr>
        <w:tc>
          <w:tcPr>
            <w:tcW w:w="888" w:type="dxa"/>
            <w:gridSpan w:val="2"/>
          </w:tcPr>
          <w:p>
            <w:pPr>
              <w:pStyle w:val="TableParagraph"/>
              <w:spacing w:line="264" w:lineRule="exact"/>
              <w:ind w:left="283"/>
              <w:jc w:val="left"/>
              <w:rPr>
                <w:sz w:val="21"/>
              </w:rPr>
            </w:pPr>
            <w:r>
              <w:rPr>
                <w:sz w:val="21"/>
              </w:rPr>
              <w:t>路段</w:t>
            </w:r>
          </w:p>
        </w:tc>
        <w:tc>
          <w:tcPr>
            <w:tcW w:w="782" w:type="dxa"/>
          </w:tcPr>
          <w:p>
            <w:pPr>
              <w:pStyle w:val="TableParagraph"/>
              <w:spacing w:line="264" w:lineRule="exact"/>
              <w:ind w:left="175"/>
              <w:jc w:val="left"/>
              <w:rPr>
                <w:sz w:val="21"/>
              </w:rPr>
            </w:pPr>
            <w:r>
              <w:rPr>
                <w:sz w:val="21"/>
              </w:rPr>
              <w:t>年份</w:t>
            </w:r>
          </w:p>
        </w:tc>
        <w:tc>
          <w:tcPr>
            <w:tcW w:w="1553" w:type="dxa"/>
            <w:gridSpan w:val="2"/>
            <w:vMerge/>
          </w:tcPr>
          <w:p>
            <w:pPr/>
          </w:p>
        </w:tc>
        <w:tc>
          <w:tcPr>
            <w:tcW w:w="583" w:type="dxa"/>
          </w:tcPr>
          <w:p>
            <w:pPr>
              <w:pStyle w:val="TableParagraph"/>
              <w:spacing w:before="33"/>
              <w:ind w:left="105"/>
              <w:jc w:val="left"/>
              <w:rPr>
                <w:rFonts w:ascii="Times New Roman"/>
                <w:sz w:val="21"/>
              </w:rPr>
            </w:pPr>
            <w:r>
              <w:rPr>
                <w:rFonts w:ascii="Times New Roman"/>
                <w:sz w:val="21"/>
              </w:rPr>
              <w:t>10m</w:t>
            </w:r>
          </w:p>
        </w:tc>
        <w:tc>
          <w:tcPr>
            <w:tcW w:w="499" w:type="dxa"/>
          </w:tcPr>
          <w:p>
            <w:pPr>
              <w:pStyle w:val="TableParagraph"/>
              <w:spacing w:before="33"/>
              <w:ind w:left="52"/>
              <w:jc w:val="left"/>
              <w:rPr>
                <w:rFonts w:ascii="Times New Roman"/>
                <w:sz w:val="21"/>
              </w:rPr>
            </w:pPr>
            <w:r>
              <w:rPr>
                <w:rFonts w:ascii="Times New Roman"/>
                <w:sz w:val="21"/>
              </w:rPr>
              <w:t>20m</w:t>
            </w:r>
          </w:p>
        </w:tc>
        <w:tc>
          <w:tcPr>
            <w:tcW w:w="490" w:type="dxa"/>
          </w:tcPr>
          <w:p>
            <w:pPr>
              <w:pStyle w:val="TableParagraph"/>
              <w:spacing w:before="33"/>
              <w:ind w:left="12" w:right="14"/>
              <w:rPr>
                <w:rFonts w:ascii="Times New Roman"/>
                <w:sz w:val="21"/>
              </w:rPr>
            </w:pPr>
            <w:r>
              <w:rPr>
                <w:rFonts w:ascii="Times New Roman"/>
                <w:sz w:val="21"/>
              </w:rPr>
              <w:t>30m</w:t>
            </w:r>
          </w:p>
        </w:tc>
        <w:tc>
          <w:tcPr>
            <w:tcW w:w="516" w:type="dxa"/>
            <w:gridSpan w:val="2"/>
          </w:tcPr>
          <w:p>
            <w:pPr>
              <w:pStyle w:val="TableParagraph"/>
              <w:spacing w:before="33"/>
              <w:ind w:left="64"/>
              <w:jc w:val="left"/>
              <w:rPr>
                <w:rFonts w:ascii="Times New Roman"/>
                <w:sz w:val="21"/>
              </w:rPr>
            </w:pPr>
            <w:r>
              <w:rPr>
                <w:rFonts w:ascii="Times New Roman"/>
                <w:sz w:val="21"/>
              </w:rPr>
              <w:t>40m</w:t>
            </w:r>
          </w:p>
        </w:tc>
        <w:tc>
          <w:tcPr>
            <w:tcW w:w="518" w:type="dxa"/>
          </w:tcPr>
          <w:p>
            <w:pPr>
              <w:pStyle w:val="TableParagraph"/>
              <w:spacing w:before="33"/>
              <w:ind w:left="64"/>
              <w:jc w:val="left"/>
              <w:rPr>
                <w:rFonts w:ascii="Times New Roman"/>
                <w:sz w:val="21"/>
              </w:rPr>
            </w:pPr>
            <w:r>
              <w:rPr>
                <w:rFonts w:ascii="Times New Roman"/>
                <w:sz w:val="21"/>
              </w:rPr>
              <w:t>60m</w:t>
            </w:r>
          </w:p>
        </w:tc>
        <w:tc>
          <w:tcPr>
            <w:tcW w:w="518" w:type="dxa"/>
          </w:tcPr>
          <w:p>
            <w:pPr>
              <w:pStyle w:val="TableParagraph"/>
              <w:spacing w:before="33"/>
              <w:ind w:right="64"/>
              <w:jc w:val="right"/>
              <w:rPr>
                <w:rFonts w:ascii="Times New Roman"/>
                <w:sz w:val="21"/>
              </w:rPr>
            </w:pPr>
            <w:r>
              <w:rPr>
                <w:rFonts w:ascii="Times New Roman"/>
                <w:sz w:val="21"/>
              </w:rPr>
              <w:t>80m</w:t>
            </w:r>
          </w:p>
        </w:tc>
        <w:tc>
          <w:tcPr>
            <w:tcW w:w="521" w:type="dxa"/>
          </w:tcPr>
          <w:p>
            <w:pPr>
              <w:pStyle w:val="TableParagraph"/>
              <w:spacing w:before="33"/>
              <w:ind w:left="8"/>
              <w:rPr>
                <w:rFonts w:ascii="Times New Roman"/>
                <w:sz w:val="21"/>
              </w:rPr>
            </w:pPr>
            <w:r>
              <w:rPr>
                <w:rFonts w:ascii="Times New Roman"/>
                <w:sz w:val="21"/>
              </w:rPr>
              <w:t>100m</w:t>
            </w:r>
          </w:p>
        </w:tc>
        <w:tc>
          <w:tcPr>
            <w:tcW w:w="531" w:type="dxa"/>
          </w:tcPr>
          <w:p>
            <w:pPr>
              <w:pStyle w:val="TableParagraph"/>
              <w:spacing w:before="33"/>
              <w:ind w:left="14"/>
              <w:jc w:val="left"/>
              <w:rPr>
                <w:rFonts w:ascii="Times New Roman"/>
                <w:sz w:val="21"/>
              </w:rPr>
            </w:pPr>
            <w:r>
              <w:rPr>
                <w:rFonts w:ascii="Times New Roman"/>
                <w:sz w:val="21"/>
              </w:rPr>
              <w:t>120m</w:t>
            </w:r>
          </w:p>
        </w:tc>
        <w:tc>
          <w:tcPr>
            <w:tcW w:w="509" w:type="dxa"/>
          </w:tcPr>
          <w:p>
            <w:pPr>
              <w:pStyle w:val="TableParagraph"/>
              <w:spacing w:before="33"/>
              <w:ind w:left="9"/>
              <w:jc w:val="left"/>
              <w:rPr>
                <w:rFonts w:ascii="Times New Roman"/>
                <w:sz w:val="21"/>
              </w:rPr>
            </w:pPr>
            <w:r>
              <w:rPr>
                <w:rFonts w:ascii="Times New Roman"/>
                <w:sz w:val="21"/>
              </w:rPr>
              <w:t>150m</w:t>
            </w:r>
          </w:p>
        </w:tc>
        <w:tc>
          <w:tcPr>
            <w:tcW w:w="622" w:type="dxa"/>
            <w:gridSpan w:val="2"/>
          </w:tcPr>
          <w:p>
            <w:pPr>
              <w:pStyle w:val="TableParagraph"/>
              <w:spacing w:before="33"/>
              <w:ind w:left="16"/>
              <w:jc w:val="left"/>
              <w:rPr>
                <w:rFonts w:ascii="Times New Roman"/>
                <w:sz w:val="21"/>
              </w:rPr>
            </w:pPr>
            <w:r>
              <w:rPr>
                <w:rFonts w:ascii="Times New Roman"/>
                <w:sz w:val="21"/>
              </w:rPr>
              <w:t>200m</w:t>
            </w:r>
          </w:p>
        </w:tc>
      </w:tr>
      <w:tr>
        <w:trPr>
          <w:trHeight w:val="554" w:hRule="exact"/>
        </w:trPr>
        <w:tc>
          <w:tcPr>
            <w:tcW w:w="888" w:type="dxa"/>
            <w:gridSpan w:val="2"/>
            <w:vMerge w:val="restart"/>
          </w:tcPr>
          <w:p>
            <w:pPr>
              <w:pStyle w:val="TableParagraph"/>
              <w:jc w:val="left"/>
              <w:rPr>
                <w:rFonts w:ascii="Symbol" w:hAnsi="Symbol"/>
                <w:sz w:val="20"/>
              </w:rPr>
            </w:pPr>
          </w:p>
          <w:p>
            <w:pPr>
              <w:pStyle w:val="TableParagraph"/>
              <w:jc w:val="left"/>
              <w:rPr>
                <w:rFonts w:ascii="Symbol" w:hAnsi="Symbol"/>
                <w:sz w:val="20"/>
              </w:rPr>
            </w:pPr>
          </w:p>
          <w:p>
            <w:pPr>
              <w:pStyle w:val="TableParagraph"/>
              <w:jc w:val="left"/>
              <w:rPr>
                <w:rFonts w:ascii="Symbol" w:hAnsi="Symbol"/>
                <w:sz w:val="20"/>
              </w:rPr>
            </w:pPr>
          </w:p>
          <w:p>
            <w:pPr>
              <w:pStyle w:val="TableParagraph"/>
              <w:spacing w:before="8"/>
              <w:jc w:val="left"/>
              <w:rPr>
                <w:rFonts w:ascii="Symbol" w:hAnsi="Symbol"/>
                <w:sz w:val="15"/>
              </w:rPr>
            </w:pPr>
          </w:p>
          <w:p>
            <w:pPr>
              <w:pStyle w:val="TableParagraph"/>
              <w:ind w:left="175"/>
              <w:jc w:val="left"/>
              <w:rPr>
                <w:sz w:val="21"/>
              </w:rPr>
            </w:pPr>
            <w:r>
              <w:rPr>
                <w:sz w:val="21"/>
              </w:rPr>
              <w:t>本项目</w:t>
            </w:r>
          </w:p>
        </w:tc>
        <w:tc>
          <w:tcPr>
            <w:tcW w:w="782" w:type="dxa"/>
            <w:vMerge w:val="restart"/>
          </w:tcPr>
          <w:p>
            <w:pPr>
              <w:pStyle w:val="TableParagraph"/>
              <w:spacing w:before="11"/>
              <w:jc w:val="left"/>
              <w:rPr>
                <w:rFonts w:ascii="Symbol" w:hAnsi="Symbol"/>
                <w:sz w:val="22"/>
              </w:rPr>
            </w:pPr>
          </w:p>
          <w:p>
            <w:pPr>
              <w:pStyle w:val="TableParagraph"/>
              <w:spacing w:line="227" w:lineRule="exact"/>
              <w:ind w:left="156" w:right="156"/>
              <w:rPr>
                <w:rFonts w:ascii="Times New Roman"/>
                <w:sz w:val="21"/>
              </w:rPr>
            </w:pPr>
            <w:r>
              <w:rPr>
                <w:rFonts w:ascii="Times New Roman"/>
                <w:sz w:val="21"/>
              </w:rPr>
              <w:t>2018</w:t>
            </w:r>
          </w:p>
          <w:p>
            <w:pPr>
              <w:pStyle w:val="TableParagraph"/>
              <w:spacing w:line="260" w:lineRule="exact"/>
              <w:ind w:right="2"/>
              <w:rPr>
                <w:sz w:val="21"/>
              </w:rPr>
            </w:pPr>
            <w:r>
              <w:rPr>
                <w:w w:val="100"/>
                <w:sz w:val="21"/>
              </w:rPr>
              <w:t>年</w:t>
            </w:r>
          </w:p>
        </w:tc>
        <w:tc>
          <w:tcPr>
            <w:tcW w:w="713" w:type="dxa"/>
          </w:tcPr>
          <w:p>
            <w:pPr>
              <w:pStyle w:val="TableParagraph"/>
              <w:spacing w:before="97"/>
              <w:ind w:left="122" w:right="121"/>
              <w:rPr>
                <w:sz w:val="21"/>
              </w:rPr>
            </w:pPr>
            <w:r>
              <w:rPr>
                <w:sz w:val="21"/>
              </w:rPr>
              <w:t>昼间</w:t>
            </w:r>
          </w:p>
        </w:tc>
        <w:tc>
          <w:tcPr>
            <w:tcW w:w="840" w:type="dxa"/>
          </w:tcPr>
          <w:p>
            <w:pPr>
              <w:pStyle w:val="TableParagraph"/>
              <w:spacing w:line="233" w:lineRule="exact"/>
              <w:ind w:left="184" w:right="186"/>
              <w:rPr>
                <w:sz w:val="21"/>
              </w:rPr>
            </w:pPr>
            <w:r>
              <w:rPr>
                <w:sz w:val="21"/>
              </w:rPr>
              <w:t>贡献</w:t>
            </w:r>
          </w:p>
          <w:p>
            <w:pPr>
              <w:pStyle w:val="TableParagraph"/>
              <w:spacing w:line="273" w:lineRule="exact"/>
              <w:ind w:right="2"/>
              <w:rPr>
                <w:sz w:val="21"/>
              </w:rPr>
            </w:pPr>
            <w:r>
              <w:rPr>
                <w:w w:val="100"/>
                <w:sz w:val="21"/>
              </w:rPr>
              <w:t>值</w:t>
            </w:r>
          </w:p>
        </w:tc>
        <w:tc>
          <w:tcPr>
            <w:tcW w:w="583" w:type="dxa"/>
          </w:tcPr>
          <w:p>
            <w:pPr>
              <w:pStyle w:val="TableParagraph"/>
              <w:spacing w:before="139"/>
              <w:ind w:left="103" w:right="-3"/>
              <w:jc w:val="left"/>
              <w:rPr>
                <w:sz w:val="21"/>
              </w:rPr>
            </w:pPr>
            <w:r>
              <w:rPr>
                <w:rFonts w:ascii="Times New Roman"/>
                <w:sz w:val="21"/>
              </w:rPr>
              <w:t>50.4</w:t>
            </w:r>
            <w:r>
              <w:rPr>
                <w:sz w:val="21"/>
              </w:rPr>
              <w:t> </w:t>
            </w:r>
          </w:p>
        </w:tc>
        <w:tc>
          <w:tcPr>
            <w:tcW w:w="499" w:type="dxa"/>
          </w:tcPr>
          <w:p>
            <w:pPr>
              <w:pStyle w:val="TableParagraph"/>
              <w:spacing w:before="139"/>
              <w:ind w:left="47"/>
              <w:jc w:val="left"/>
              <w:rPr>
                <w:rFonts w:ascii="Times New Roman"/>
                <w:sz w:val="21"/>
              </w:rPr>
            </w:pPr>
            <w:r>
              <w:rPr>
                <w:rFonts w:ascii="Times New Roman"/>
                <w:sz w:val="21"/>
              </w:rPr>
              <w:t>46.1</w:t>
            </w:r>
          </w:p>
        </w:tc>
        <w:tc>
          <w:tcPr>
            <w:tcW w:w="490" w:type="dxa"/>
          </w:tcPr>
          <w:p>
            <w:pPr>
              <w:pStyle w:val="TableParagraph"/>
              <w:spacing w:before="139"/>
              <w:ind w:left="18" w:right="14"/>
              <w:rPr>
                <w:rFonts w:ascii="Times New Roman"/>
                <w:sz w:val="21"/>
              </w:rPr>
            </w:pPr>
            <w:r>
              <w:rPr>
                <w:rFonts w:ascii="Times New Roman"/>
                <w:sz w:val="21"/>
              </w:rPr>
              <w:t>43.2</w:t>
            </w:r>
          </w:p>
        </w:tc>
        <w:tc>
          <w:tcPr>
            <w:tcW w:w="516" w:type="dxa"/>
            <w:gridSpan w:val="2"/>
          </w:tcPr>
          <w:p>
            <w:pPr>
              <w:pStyle w:val="TableParagraph"/>
              <w:spacing w:before="139"/>
              <w:ind w:left="88"/>
              <w:jc w:val="left"/>
              <w:rPr>
                <w:rFonts w:ascii="Times New Roman"/>
                <w:sz w:val="21"/>
              </w:rPr>
            </w:pPr>
            <w:r>
              <w:rPr>
                <w:rFonts w:ascii="Times New Roman"/>
                <w:sz w:val="21"/>
              </w:rPr>
              <w:t>41.1</w:t>
            </w:r>
          </w:p>
        </w:tc>
        <w:tc>
          <w:tcPr>
            <w:tcW w:w="518" w:type="dxa"/>
          </w:tcPr>
          <w:p>
            <w:pPr>
              <w:pStyle w:val="TableParagraph"/>
              <w:spacing w:before="139"/>
              <w:ind w:left="67"/>
              <w:jc w:val="left"/>
              <w:rPr>
                <w:rFonts w:ascii="Times New Roman"/>
                <w:sz w:val="21"/>
              </w:rPr>
            </w:pPr>
            <w:r>
              <w:rPr>
                <w:rFonts w:ascii="Times New Roman"/>
                <w:sz w:val="21"/>
              </w:rPr>
              <w:t>37.9</w:t>
            </w:r>
          </w:p>
        </w:tc>
        <w:tc>
          <w:tcPr>
            <w:tcW w:w="518" w:type="dxa"/>
          </w:tcPr>
          <w:p>
            <w:pPr>
              <w:pStyle w:val="TableParagraph"/>
              <w:spacing w:before="139"/>
              <w:ind w:right="67"/>
              <w:jc w:val="right"/>
              <w:rPr>
                <w:rFonts w:ascii="Times New Roman"/>
                <w:sz w:val="21"/>
              </w:rPr>
            </w:pPr>
            <w:r>
              <w:rPr>
                <w:rFonts w:ascii="Times New Roman"/>
                <w:sz w:val="21"/>
              </w:rPr>
              <w:t>35.6</w:t>
            </w:r>
          </w:p>
        </w:tc>
        <w:tc>
          <w:tcPr>
            <w:tcW w:w="521" w:type="dxa"/>
          </w:tcPr>
          <w:p>
            <w:pPr>
              <w:pStyle w:val="TableParagraph"/>
              <w:spacing w:before="139"/>
              <w:rPr>
                <w:rFonts w:ascii="Times New Roman"/>
                <w:sz w:val="21"/>
              </w:rPr>
            </w:pPr>
            <w:r>
              <w:rPr>
                <w:rFonts w:ascii="Times New Roman"/>
                <w:sz w:val="21"/>
              </w:rPr>
              <w:t>33.8</w:t>
            </w:r>
          </w:p>
        </w:tc>
        <w:tc>
          <w:tcPr>
            <w:tcW w:w="531" w:type="dxa"/>
          </w:tcPr>
          <w:p>
            <w:pPr>
              <w:pStyle w:val="TableParagraph"/>
              <w:spacing w:before="139"/>
              <w:ind w:left="67"/>
              <w:jc w:val="left"/>
              <w:rPr>
                <w:rFonts w:ascii="Times New Roman"/>
                <w:sz w:val="21"/>
              </w:rPr>
            </w:pPr>
            <w:r>
              <w:rPr>
                <w:rFonts w:ascii="Times New Roman"/>
                <w:sz w:val="21"/>
              </w:rPr>
              <w:t>32.3</w:t>
            </w:r>
          </w:p>
        </w:tc>
        <w:tc>
          <w:tcPr>
            <w:tcW w:w="509" w:type="dxa"/>
          </w:tcPr>
          <w:p>
            <w:pPr>
              <w:pStyle w:val="TableParagraph"/>
              <w:spacing w:before="139"/>
              <w:ind w:left="55"/>
              <w:jc w:val="left"/>
              <w:rPr>
                <w:rFonts w:ascii="Times New Roman"/>
                <w:sz w:val="21"/>
              </w:rPr>
            </w:pPr>
            <w:r>
              <w:rPr>
                <w:rFonts w:ascii="Times New Roman"/>
                <w:sz w:val="21"/>
              </w:rPr>
              <w:t>30.5</w:t>
            </w:r>
          </w:p>
        </w:tc>
        <w:tc>
          <w:tcPr>
            <w:tcW w:w="622" w:type="dxa"/>
            <w:gridSpan w:val="2"/>
          </w:tcPr>
          <w:p>
            <w:pPr>
              <w:pStyle w:val="TableParagraph"/>
              <w:spacing w:before="139"/>
              <w:ind w:left="67"/>
              <w:jc w:val="left"/>
              <w:rPr>
                <w:rFonts w:ascii="Times New Roman"/>
                <w:sz w:val="21"/>
              </w:rPr>
            </w:pPr>
            <w:r>
              <w:rPr>
                <w:rFonts w:ascii="Times New Roman"/>
                <w:sz w:val="21"/>
              </w:rPr>
              <w:t>28.2</w:t>
            </w:r>
          </w:p>
        </w:tc>
      </w:tr>
      <w:tr>
        <w:trPr>
          <w:trHeight w:val="554" w:hRule="exact"/>
        </w:trPr>
        <w:tc>
          <w:tcPr>
            <w:tcW w:w="888" w:type="dxa"/>
            <w:gridSpan w:val="2"/>
            <w:vMerge/>
          </w:tcPr>
          <w:p>
            <w:pPr/>
          </w:p>
        </w:tc>
        <w:tc>
          <w:tcPr>
            <w:tcW w:w="782" w:type="dxa"/>
            <w:vMerge/>
          </w:tcPr>
          <w:p>
            <w:pPr/>
          </w:p>
        </w:tc>
        <w:tc>
          <w:tcPr>
            <w:tcW w:w="713" w:type="dxa"/>
          </w:tcPr>
          <w:p>
            <w:pPr>
              <w:pStyle w:val="TableParagraph"/>
              <w:spacing w:before="97"/>
              <w:ind w:left="122" w:right="121"/>
              <w:rPr>
                <w:sz w:val="21"/>
              </w:rPr>
            </w:pPr>
            <w:r>
              <w:rPr>
                <w:sz w:val="21"/>
              </w:rPr>
              <w:t>夜间</w:t>
            </w:r>
          </w:p>
        </w:tc>
        <w:tc>
          <w:tcPr>
            <w:tcW w:w="840" w:type="dxa"/>
          </w:tcPr>
          <w:p>
            <w:pPr>
              <w:pStyle w:val="TableParagraph"/>
              <w:spacing w:line="233" w:lineRule="exact"/>
              <w:ind w:left="184" w:right="186"/>
              <w:rPr>
                <w:sz w:val="21"/>
              </w:rPr>
            </w:pPr>
            <w:r>
              <w:rPr>
                <w:sz w:val="21"/>
              </w:rPr>
              <w:t>贡献</w:t>
            </w:r>
          </w:p>
          <w:p>
            <w:pPr>
              <w:pStyle w:val="TableParagraph"/>
              <w:spacing w:line="273" w:lineRule="exact"/>
              <w:ind w:right="2"/>
              <w:rPr>
                <w:sz w:val="21"/>
              </w:rPr>
            </w:pPr>
            <w:r>
              <w:rPr>
                <w:w w:val="100"/>
                <w:sz w:val="21"/>
              </w:rPr>
              <w:t>值</w:t>
            </w:r>
          </w:p>
        </w:tc>
        <w:tc>
          <w:tcPr>
            <w:tcW w:w="583" w:type="dxa"/>
          </w:tcPr>
          <w:p>
            <w:pPr>
              <w:pStyle w:val="TableParagraph"/>
              <w:spacing w:before="139"/>
              <w:ind w:left="103" w:right="-3"/>
              <w:jc w:val="left"/>
              <w:rPr>
                <w:sz w:val="21"/>
              </w:rPr>
            </w:pPr>
            <w:r>
              <w:rPr>
                <w:rFonts w:ascii="Times New Roman"/>
                <w:sz w:val="21"/>
              </w:rPr>
              <w:t>44.4</w:t>
            </w:r>
            <w:r>
              <w:rPr>
                <w:sz w:val="21"/>
              </w:rPr>
              <w:t> </w:t>
            </w:r>
          </w:p>
        </w:tc>
        <w:tc>
          <w:tcPr>
            <w:tcW w:w="499" w:type="dxa"/>
          </w:tcPr>
          <w:p>
            <w:pPr>
              <w:pStyle w:val="TableParagraph"/>
              <w:spacing w:before="139"/>
              <w:ind w:left="47"/>
              <w:jc w:val="left"/>
              <w:rPr>
                <w:rFonts w:ascii="Times New Roman"/>
                <w:sz w:val="21"/>
              </w:rPr>
            </w:pPr>
            <w:r>
              <w:rPr>
                <w:rFonts w:ascii="Times New Roman"/>
                <w:sz w:val="21"/>
              </w:rPr>
              <w:t>40.1</w:t>
            </w:r>
          </w:p>
        </w:tc>
        <w:tc>
          <w:tcPr>
            <w:tcW w:w="490" w:type="dxa"/>
          </w:tcPr>
          <w:p>
            <w:pPr>
              <w:pStyle w:val="TableParagraph"/>
              <w:spacing w:before="139"/>
              <w:ind w:left="18" w:right="14"/>
              <w:rPr>
                <w:rFonts w:ascii="Times New Roman"/>
                <w:sz w:val="21"/>
              </w:rPr>
            </w:pPr>
            <w:r>
              <w:rPr>
                <w:rFonts w:ascii="Times New Roman"/>
                <w:sz w:val="21"/>
              </w:rPr>
              <w:t>37.3</w:t>
            </w:r>
          </w:p>
        </w:tc>
        <w:tc>
          <w:tcPr>
            <w:tcW w:w="516" w:type="dxa"/>
            <w:gridSpan w:val="2"/>
          </w:tcPr>
          <w:p>
            <w:pPr>
              <w:pStyle w:val="TableParagraph"/>
              <w:spacing w:before="139"/>
              <w:ind w:left="88"/>
              <w:jc w:val="left"/>
              <w:rPr>
                <w:rFonts w:ascii="Times New Roman"/>
                <w:sz w:val="21"/>
              </w:rPr>
            </w:pPr>
            <w:r>
              <w:rPr>
                <w:rFonts w:ascii="Times New Roman"/>
                <w:sz w:val="21"/>
              </w:rPr>
              <w:t>35.1</w:t>
            </w:r>
          </w:p>
        </w:tc>
        <w:tc>
          <w:tcPr>
            <w:tcW w:w="518" w:type="dxa"/>
          </w:tcPr>
          <w:p>
            <w:pPr>
              <w:pStyle w:val="TableParagraph"/>
              <w:spacing w:before="139"/>
              <w:ind w:left="67"/>
              <w:jc w:val="left"/>
              <w:rPr>
                <w:rFonts w:ascii="Times New Roman"/>
                <w:sz w:val="21"/>
              </w:rPr>
            </w:pPr>
            <w:r>
              <w:rPr>
                <w:rFonts w:ascii="Times New Roman"/>
                <w:sz w:val="21"/>
              </w:rPr>
              <w:t>32.0</w:t>
            </w:r>
          </w:p>
        </w:tc>
        <w:tc>
          <w:tcPr>
            <w:tcW w:w="518" w:type="dxa"/>
          </w:tcPr>
          <w:p>
            <w:pPr>
              <w:pStyle w:val="TableParagraph"/>
              <w:spacing w:before="139"/>
              <w:ind w:right="67"/>
              <w:jc w:val="right"/>
              <w:rPr>
                <w:rFonts w:ascii="Times New Roman"/>
                <w:sz w:val="21"/>
              </w:rPr>
            </w:pPr>
            <w:r>
              <w:rPr>
                <w:rFonts w:ascii="Times New Roman"/>
                <w:sz w:val="21"/>
              </w:rPr>
              <w:t>29.7</w:t>
            </w:r>
          </w:p>
        </w:tc>
        <w:tc>
          <w:tcPr>
            <w:tcW w:w="521" w:type="dxa"/>
          </w:tcPr>
          <w:p>
            <w:pPr>
              <w:pStyle w:val="TableParagraph"/>
              <w:spacing w:before="139"/>
              <w:rPr>
                <w:rFonts w:ascii="Times New Roman"/>
                <w:sz w:val="21"/>
              </w:rPr>
            </w:pPr>
            <w:r>
              <w:rPr>
                <w:rFonts w:ascii="Times New Roman"/>
                <w:sz w:val="21"/>
              </w:rPr>
              <w:t>27.9</w:t>
            </w:r>
          </w:p>
        </w:tc>
        <w:tc>
          <w:tcPr>
            <w:tcW w:w="531" w:type="dxa"/>
          </w:tcPr>
          <w:p>
            <w:pPr>
              <w:pStyle w:val="TableParagraph"/>
              <w:spacing w:before="139"/>
              <w:ind w:left="67"/>
              <w:jc w:val="left"/>
              <w:rPr>
                <w:rFonts w:ascii="Times New Roman"/>
                <w:sz w:val="21"/>
              </w:rPr>
            </w:pPr>
            <w:r>
              <w:rPr>
                <w:rFonts w:ascii="Times New Roman"/>
                <w:sz w:val="21"/>
              </w:rPr>
              <w:t>26.4</w:t>
            </w:r>
          </w:p>
        </w:tc>
        <w:tc>
          <w:tcPr>
            <w:tcW w:w="509" w:type="dxa"/>
          </w:tcPr>
          <w:p>
            <w:pPr>
              <w:pStyle w:val="TableParagraph"/>
              <w:spacing w:before="139"/>
              <w:ind w:left="55"/>
              <w:jc w:val="left"/>
              <w:rPr>
                <w:rFonts w:ascii="Times New Roman"/>
                <w:sz w:val="21"/>
              </w:rPr>
            </w:pPr>
            <w:r>
              <w:rPr>
                <w:rFonts w:ascii="Times New Roman"/>
                <w:sz w:val="21"/>
              </w:rPr>
              <w:t>24.5</w:t>
            </w:r>
          </w:p>
        </w:tc>
        <w:tc>
          <w:tcPr>
            <w:tcW w:w="622" w:type="dxa"/>
            <w:gridSpan w:val="2"/>
          </w:tcPr>
          <w:p>
            <w:pPr>
              <w:pStyle w:val="TableParagraph"/>
              <w:spacing w:before="139"/>
              <w:ind w:left="67"/>
              <w:jc w:val="left"/>
              <w:rPr>
                <w:rFonts w:ascii="Times New Roman"/>
                <w:sz w:val="21"/>
              </w:rPr>
            </w:pPr>
            <w:r>
              <w:rPr>
                <w:rFonts w:ascii="Times New Roman"/>
                <w:sz w:val="21"/>
              </w:rPr>
              <w:t>22.1</w:t>
            </w:r>
          </w:p>
        </w:tc>
      </w:tr>
      <w:tr>
        <w:trPr>
          <w:trHeight w:val="554" w:hRule="exact"/>
        </w:trPr>
        <w:tc>
          <w:tcPr>
            <w:tcW w:w="888" w:type="dxa"/>
            <w:gridSpan w:val="2"/>
            <w:vMerge/>
          </w:tcPr>
          <w:p>
            <w:pPr/>
          </w:p>
        </w:tc>
        <w:tc>
          <w:tcPr>
            <w:tcW w:w="782" w:type="dxa"/>
            <w:vMerge w:val="restart"/>
          </w:tcPr>
          <w:p>
            <w:pPr>
              <w:pStyle w:val="TableParagraph"/>
              <w:spacing w:before="11"/>
              <w:jc w:val="left"/>
              <w:rPr>
                <w:rFonts w:ascii="Symbol" w:hAnsi="Symbol"/>
                <w:sz w:val="22"/>
              </w:rPr>
            </w:pPr>
          </w:p>
          <w:p>
            <w:pPr>
              <w:pStyle w:val="TableParagraph"/>
              <w:spacing w:line="228" w:lineRule="exact"/>
              <w:ind w:left="156" w:right="156"/>
              <w:rPr>
                <w:rFonts w:ascii="Times New Roman"/>
                <w:sz w:val="21"/>
              </w:rPr>
            </w:pPr>
            <w:r>
              <w:rPr>
                <w:rFonts w:ascii="Times New Roman"/>
                <w:sz w:val="21"/>
              </w:rPr>
              <w:t>2023</w:t>
            </w:r>
          </w:p>
          <w:p>
            <w:pPr>
              <w:pStyle w:val="TableParagraph"/>
              <w:spacing w:line="261" w:lineRule="exact"/>
              <w:ind w:right="2"/>
              <w:rPr>
                <w:sz w:val="21"/>
              </w:rPr>
            </w:pPr>
            <w:r>
              <w:rPr>
                <w:w w:val="100"/>
                <w:sz w:val="21"/>
              </w:rPr>
              <w:t>年</w:t>
            </w:r>
          </w:p>
        </w:tc>
        <w:tc>
          <w:tcPr>
            <w:tcW w:w="713" w:type="dxa"/>
          </w:tcPr>
          <w:p>
            <w:pPr>
              <w:pStyle w:val="TableParagraph"/>
              <w:spacing w:before="97"/>
              <w:ind w:left="122" w:right="121"/>
              <w:rPr>
                <w:sz w:val="21"/>
              </w:rPr>
            </w:pPr>
            <w:r>
              <w:rPr>
                <w:sz w:val="21"/>
              </w:rPr>
              <w:t>昼间</w:t>
            </w:r>
          </w:p>
        </w:tc>
        <w:tc>
          <w:tcPr>
            <w:tcW w:w="840" w:type="dxa"/>
          </w:tcPr>
          <w:p>
            <w:pPr>
              <w:pStyle w:val="TableParagraph"/>
              <w:spacing w:line="233" w:lineRule="exact"/>
              <w:ind w:left="184" w:right="186"/>
              <w:rPr>
                <w:sz w:val="21"/>
              </w:rPr>
            </w:pPr>
            <w:r>
              <w:rPr>
                <w:sz w:val="21"/>
              </w:rPr>
              <w:t>贡献</w:t>
            </w:r>
          </w:p>
          <w:p>
            <w:pPr>
              <w:pStyle w:val="TableParagraph"/>
              <w:spacing w:line="273" w:lineRule="exact"/>
              <w:ind w:right="2"/>
              <w:rPr>
                <w:sz w:val="21"/>
              </w:rPr>
            </w:pPr>
            <w:r>
              <w:rPr>
                <w:w w:val="100"/>
                <w:sz w:val="21"/>
              </w:rPr>
              <w:t>值</w:t>
            </w:r>
          </w:p>
        </w:tc>
        <w:tc>
          <w:tcPr>
            <w:tcW w:w="583" w:type="dxa"/>
          </w:tcPr>
          <w:p>
            <w:pPr>
              <w:pStyle w:val="TableParagraph"/>
              <w:spacing w:before="139"/>
              <w:ind w:left="103" w:right="-3"/>
              <w:jc w:val="left"/>
              <w:rPr>
                <w:sz w:val="21"/>
              </w:rPr>
            </w:pPr>
            <w:r>
              <w:rPr>
                <w:rFonts w:ascii="Times New Roman"/>
                <w:sz w:val="21"/>
              </w:rPr>
              <w:t>52.7</w:t>
            </w:r>
            <w:r>
              <w:rPr>
                <w:sz w:val="21"/>
              </w:rPr>
              <w:t> </w:t>
            </w:r>
          </w:p>
        </w:tc>
        <w:tc>
          <w:tcPr>
            <w:tcW w:w="499" w:type="dxa"/>
          </w:tcPr>
          <w:p>
            <w:pPr>
              <w:pStyle w:val="TableParagraph"/>
              <w:spacing w:before="139"/>
              <w:ind w:left="62"/>
              <w:jc w:val="left"/>
              <w:rPr>
                <w:rFonts w:ascii="Times New Roman"/>
                <w:sz w:val="21"/>
              </w:rPr>
            </w:pPr>
            <w:r>
              <w:rPr>
                <w:rFonts w:ascii="Times New Roman"/>
                <w:sz w:val="21"/>
              </w:rPr>
              <w:t>48.4</w:t>
            </w:r>
          </w:p>
        </w:tc>
        <w:tc>
          <w:tcPr>
            <w:tcW w:w="490" w:type="dxa"/>
          </w:tcPr>
          <w:p>
            <w:pPr>
              <w:pStyle w:val="TableParagraph"/>
              <w:spacing w:before="139"/>
              <w:ind w:left="57" w:right="14"/>
              <w:rPr>
                <w:rFonts w:ascii="Times New Roman"/>
                <w:sz w:val="21"/>
              </w:rPr>
            </w:pPr>
            <w:r>
              <w:rPr>
                <w:rFonts w:ascii="Times New Roman"/>
                <w:sz w:val="21"/>
              </w:rPr>
              <w:t>45.6</w:t>
            </w:r>
          </w:p>
        </w:tc>
        <w:tc>
          <w:tcPr>
            <w:tcW w:w="516" w:type="dxa"/>
            <w:gridSpan w:val="2"/>
          </w:tcPr>
          <w:p>
            <w:pPr>
              <w:pStyle w:val="TableParagraph"/>
              <w:spacing w:before="139"/>
              <w:ind w:left="67"/>
              <w:jc w:val="left"/>
              <w:rPr>
                <w:rFonts w:ascii="Times New Roman"/>
                <w:sz w:val="21"/>
              </w:rPr>
            </w:pPr>
            <w:r>
              <w:rPr>
                <w:rFonts w:ascii="Times New Roman"/>
                <w:sz w:val="21"/>
              </w:rPr>
              <w:t>43.7</w:t>
            </w:r>
          </w:p>
        </w:tc>
        <w:tc>
          <w:tcPr>
            <w:tcW w:w="518" w:type="dxa"/>
          </w:tcPr>
          <w:p>
            <w:pPr>
              <w:pStyle w:val="TableParagraph"/>
              <w:spacing w:before="139"/>
              <w:ind w:left="64"/>
              <w:jc w:val="left"/>
              <w:rPr>
                <w:rFonts w:ascii="Times New Roman"/>
                <w:sz w:val="21"/>
              </w:rPr>
            </w:pPr>
            <w:r>
              <w:rPr>
                <w:rFonts w:ascii="Times New Roman"/>
                <w:sz w:val="21"/>
              </w:rPr>
              <w:t>40.8</w:t>
            </w:r>
          </w:p>
        </w:tc>
        <w:tc>
          <w:tcPr>
            <w:tcW w:w="518" w:type="dxa"/>
          </w:tcPr>
          <w:p>
            <w:pPr>
              <w:pStyle w:val="TableParagraph"/>
              <w:spacing w:before="139"/>
              <w:ind w:right="67"/>
              <w:jc w:val="right"/>
              <w:rPr>
                <w:rFonts w:ascii="Times New Roman"/>
                <w:sz w:val="21"/>
              </w:rPr>
            </w:pPr>
            <w:r>
              <w:rPr>
                <w:rFonts w:ascii="Times New Roman"/>
                <w:sz w:val="21"/>
              </w:rPr>
              <w:t>38.0</w:t>
            </w:r>
          </w:p>
        </w:tc>
        <w:tc>
          <w:tcPr>
            <w:tcW w:w="521" w:type="dxa"/>
          </w:tcPr>
          <w:p>
            <w:pPr>
              <w:pStyle w:val="TableParagraph"/>
              <w:spacing w:before="139"/>
              <w:ind w:left="8" w:right="22"/>
              <w:rPr>
                <w:rFonts w:ascii="Times New Roman"/>
                <w:sz w:val="21"/>
              </w:rPr>
            </w:pPr>
            <w:r>
              <w:rPr>
                <w:rFonts w:ascii="Times New Roman"/>
                <w:sz w:val="21"/>
              </w:rPr>
              <w:t>36.2</w:t>
            </w:r>
          </w:p>
        </w:tc>
        <w:tc>
          <w:tcPr>
            <w:tcW w:w="531" w:type="dxa"/>
          </w:tcPr>
          <w:p>
            <w:pPr>
              <w:pStyle w:val="TableParagraph"/>
              <w:spacing w:before="139"/>
              <w:ind w:left="64"/>
              <w:jc w:val="left"/>
              <w:rPr>
                <w:rFonts w:ascii="Times New Roman"/>
                <w:sz w:val="21"/>
              </w:rPr>
            </w:pPr>
            <w:r>
              <w:rPr>
                <w:rFonts w:ascii="Times New Roman"/>
                <w:sz w:val="21"/>
              </w:rPr>
              <w:t>34.7</w:t>
            </w:r>
          </w:p>
        </w:tc>
        <w:tc>
          <w:tcPr>
            <w:tcW w:w="509" w:type="dxa"/>
          </w:tcPr>
          <w:p>
            <w:pPr>
              <w:pStyle w:val="TableParagraph"/>
              <w:spacing w:before="139"/>
              <w:ind w:left="67"/>
              <w:jc w:val="left"/>
              <w:rPr>
                <w:rFonts w:ascii="Times New Roman"/>
                <w:sz w:val="21"/>
              </w:rPr>
            </w:pPr>
            <w:r>
              <w:rPr>
                <w:rFonts w:ascii="Times New Roman"/>
                <w:sz w:val="21"/>
              </w:rPr>
              <w:t>32.8</w:t>
            </w:r>
          </w:p>
        </w:tc>
        <w:tc>
          <w:tcPr>
            <w:tcW w:w="622" w:type="dxa"/>
            <w:gridSpan w:val="2"/>
          </w:tcPr>
          <w:p>
            <w:pPr>
              <w:pStyle w:val="TableParagraph"/>
              <w:spacing w:before="139"/>
              <w:ind w:left="67"/>
              <w:jc w:val="left"/>
              <w:rPr>
                <w:rFonts w:ascii="Times New Roman"/>
                <w:sz w:val="21"/>
              </w:rPr>
            </w:pPr>
            <w:r>
              <w:rPr>
                <w:rFonts w:ascii="Times New Roman"/>
                <w:sz w:val="21"/>
              </w:rPr>
              <w:t>30.4</w:t>
            </w:r>
          </w:p>
        </w:tc>
      </w:tr>
      <w:tr>
        <w:trPr>
          <w:trHeight w:val="564" w:hRule="exact"/>
        </w:trPr>
        <w:tc>
          <w:tcPr>
            <w:tcW w:w="888" w:type="dxa"/>
            <w:gridSpan w:val="2"/>
            <w:vMerge/>
            <w:tcBorders>
              <w:bottom w:val="single" w:sz="8" w:space="0" w:color="000000"/>
            </w:tcBorders>
          </w:tcPr>
          <w:p>
            <w:pPr/>
          </w:p>
        </w:tc>
        <w:tc>
          <w:tcPr>
            <w:tcW w:w="782" w:type="dxa"/>
            <w:vMerge/>
            <w:tcBorders>
              <w:bottom w:val="single" w:sz="8" w:space="0" w:color="000000"/>
            </w:tcBorders>
          </w:tcPr>
          <w:p>
            <w:pPr/>
          </w:p>
        </w:tc>
        <w:tc>
          <w:tcPr>
            <w:tcW w:w="713" w:type="dxa"/>
            <w:tcBorders>
              <w:bottom w:val="single" w:sz="8" w:space="0" w:color="000000"/>
            </w:tcBorders>
          </w:tcPr>
          <w:p>
            <w:pPr>
              <w:pStyle w:val="TableParagraph"/>
              <w:spacing w:before="97"/>
              <w:ind w:left="122" w:right="121"/>
              <w:rPr>
                <w:sz w:val="21"/>
              </w:rPr>
            </w:pPr>
            <w:r>
              <w:rPr>
                <w:sz w:val="21"/>
              </w:rPr>
              <w:t>夜间</w:t>
            </w:r>
          </w:p>
        </w:tc>
        <w:tc>
          <w:tcPr>
            <w:tcW w:w="840" w:type="dxa"/>
            <w:tcBorders>
              <w:bottom w:val="single" w:sz="8" w:space="0" w:color="000000"/>
            </w:tcBorders>
          </w:tcPr>
          <w:p>
            <w:pPr>
              <w:pStyle w:val="TableParagraph"/>
              <w:spacing w:line="234" w:lineRule="exact"/>
              <w:ind w:left="184" w:right="186"/>
              <w:rPr>
                <w:sz w:val="21"/>
              </w:rPr>
            </w:pPr>
            <w:r>
              <w:rPr>
                <w:sz w:val="21"/>
              </w:rPr>
              <w:t>贡献</w:t>
            </w:r>
          </w:p>
          <w:p>
            <w:pPr>
              <w:pStyle w:val="TableParagraph"/>
              <w:spacing w:line="274" w:lineRule="exact"/>
              <w:ind w:right="2"/>
              <w:rPr>
                <w:sz w:val="21"/>
              </w:rPr>
            </w:pPr>
            <w:r>
              <w:rPr>
                <w:w w:val="100"/>
                <w:sz w:val="21"/>
              </w:rPr>
              <w:t>值</w:t>
            </w:r>
          </w:p>
        </w:tc>
        <w:tc>
          <w:tcPr>
            <w:tcW w:w="583" w:type="dxa"/>
            <w:tcBorders>
              <w:bottom w:val="single" w:sz="8" w:space="0" w:color="000000"/>
            </w:tcBorders>
          </w:tcPr>
          <w:p>
            <w:pPr>
              <w:pStyle w:val="TableParagraph"/>
              <w:spacing w:before="139"/>
              <w:ind w:left="103" w:right="-3"/>
              <w:jc w:val="left"/>
              <w:rPr>
                <w:sz w:val="21"/>
              </w:rPr>
            </w:pPr>
            <w:r>
              <w:rPr>
                <w:rFonts w:ascii="Times New Roman"/>
                <w:sz w:val="21"/>
              </w:rPr>
              <w:t>46.7</w:t>
            </w:r>
            <w:r>
              <w:rPr>
                <w:sz w:val="21"/>
              </w:rPr>
              <w:t> </w:t>
            </w:r>
          </w:p>
        </w:tc>
        <w:tc>
          <w:tcPr>
            <w:tcW w:w="499" w:type="dxa"/>
            <w:tcBorders>
              <w:bottom w:val="single" w:sz="8" w:space="0" w:color="000000"/>
            </w:tcBorders>
          </w:tcPr>
          <w:p>
            <w:pPr>
              <w:pStyle w:val="TableParagraph"/>
              <w:spacing w:before="139"/>
              <w:ind w:left="47"/>
              <w:jc w:val="left"/>
              <w:rPr>
                <w:rFonts w:ascii="Times New Roman"/>
                <w:sz w:val="21"/>
              </w:rPr>
            </w:pPr>
            <w:r>
              <w:rPr>
                <w:rFonts w:ascii="Times New Roman"/>
                <w:sz w:val="21"/>
              </w:rPr>
              <w:t>42.4</w:t>
            </w:r>
          </w:p>
        </w:tc>
        <w:tc>
          <w:tcPr>
            <w:tcW w:w="490" w:type="dxa"/>
            <w:tcBorders>
              <w:bottom w:val="single" w:sz="8" w:space="0" w:color="000000"/>
            </w:tcBorders>
          </w:tcPr>
          <w:p>
            <w:pPr>
              <w:pStyle w:val="TableParagraph"/>
              <w:spacing w:before="139"/>
              <w:ind w:left="18" w:right="14"/>
              <w:rPr>
                <w:rFonts w:ascii="Times New Roman"/>
                <w:sz w:val="21"/>
              </w:rPr>
            </w:pPr>
            <w:r>
              <w:rPr>
                <w:rFonts w:ascii="Times New Roman"/>
                <w:sz w:val="21"/>
              </w:rPr>
              <w:t>39.6</w:t>
            </w:r>
          </w:p>
        </w:tc>
        <w:tc>
          <w:tcPr>
            <w:tcW w:w="516" w:type="dxa"/>
            <w:gridSpan w:val="2"/>
            <w:tcBorders>
              <w:bottom w:val="single" w:sz="8" w:space="0" w:color="000000"/>
            </w:tcBorders>
          </w:tcPr>
          <w:p>
            <w:pPr>
              <w:pStyle w:val="TableParagraph"/>
              <w:spacing w:before="139"/>
              <w:ind w:left="88"/>
              <w:jc w:val="left"/>
              <w:rPr>
                <w:rFonts w:ascii="Times New Roman"/>
                <w:sz w:val="21"/>
              </w:rPr>
            </w:pPr>
            <w:r>
              <w:rPr>
                <w:rFonts w:ascii="Times New Roman"/>
                <w:sz w:val="21"/>
              </w:rPr>
              <w:t>37.5</w:t>
            </w:r>
          </w:p>
        </w:tc>
        <w:tc>
          <w:tcPr>
            <w:tcW w:w="518" w:type="dxa"/>
            <w:tcBorders>
              <w:bottom w:val="single" w:sz="8" w:space="0" w:color="000000"/>
            </w:tcBorders>
          </w:tcPr>
          <w:p>
            <w:pPr>
              <w:pStyle w:val="TableParagraph"/>
              <w:spacing w:before="139"/>
              <w:ind w:left="67"/>
              <w:jc w:val="left"/>
              <w:rPr>
                <w:rFonts w:ascii="Times New Roman"/>
                <w:sz w:val="21"/>
              </w:rPr>
            </w:pPr>
            <w:r>
              <w:rPr>
                <w:rFonts w:ascii="Times New Roman"/>
                <w:sz w:val="21"/>
              </w:rPr>
              <w:t>34.3</w:t>
            </w:r>
          </w:p>
        </w:tc>
        <w:tc>
          <w:tcPr>
            <w:tcW w:w="518" w:type="dxa"/>
            <w:tcBorders>
              <w:bottom w:val="single" w:sz="8" w:space="0" w:color="000000"/>
            </w:tcBorders>
          </w:tcPr>
          <w:p>
            <w:pPr>
              <w:pStyle w:val="TableParagraph"/>
              <w:spacing w:before="139"/>
              <w:ind w:right="67"/>
              <w:jc w:val="right"/>
              <w:rPr>
                <w:rFonts w:ascii="Times New Roman"/>
                <w:sz w:val="21"/>
              </w:rPr>
            </w:pPr>
            <w:r>
              <w:rPr>
                <w:rFonts w:ascii="Times New Roman"/>
                <w:sz w:val="21"/>
              </w:rPr>
              <w:t>32.0</w:t>
            </w:r>
          </w:p>
        </w:tc>
        <w:tc>
          <w:tcPr>
            <w:tcW w:w="521" w:type="dxa"/>
            <w:tcBorders>
              <w:bottom w:val="single" w:sz="8" w:space="0" w:color="000000"/>
            </w:tcBorders>
          </w:tcPr>
          <w:p>
            <w:pPr>
              <w:pStyle w:val="TableParagraph"/>
              <w:spacing w:before="139"/>
              <w:rPr>
                <w:rFonts w:ascii="Times New Roman"/>
                <w:sz w:val="21"/>
              </w:rPr>
            </w:pPr>
            <w:r>
              <w:rPr>
                <w:rFonts w:ascii="Times New Roman"/>
                <w:sz w:val="21"/>
              </w:rPr>
              <w:t>30.2</w:t>
            </w:r>
          </w:p>
        </w:tc>
        <w:tc>
          <w:tcPr>
            <w:tcW w:w="531" w:type="dxa"/>
            <w:tcBorders>
              <w:bottom w:val="single" w:sz="8" w:space="0" w:color="000000"/>
            </w:tcBorders>
          </w:tcPr>
          <w:p>
            <w:pPr>
              <w:pStyle w:val="TableParagraph"/>
              <w:spacing w:before="139"/>
              <w:ind w:left="67"/>
              <w:jc w:val="left"/>
              <w:rPr>
                <w:rFonts w:ascii="Times New Roman"/>
                <w:sz w:val="21"/>
              </w:rPr>
            </w:pPr>
            <w:r>
              <w:rPr>
                <w:rFonts w:ascii="Times New Roman"/>
                <w:sz w:val="21"/>
              </w:rPr>
              <w:t>28.7</w:t>
            </w:r>
          </w:p>
        </w:tc>
        <w:tc>
          <w:tcPr>
            <w:tcW w:w="509" w:type="dxa"/>
            <w:tcBorders>
              <w:bottom w:val="single" w:sz="8" w:space="0" w:color="000000"/>
            </w:tcBorders>
          </w:tcPr>
          <w:p>
            <w:pPr>
              <w:pStyle w:val="TableParagraph"/>
              <w:spacing w:before="139"/>
              <w:ind w:left="55"/>
              <w:jc w:val="left"/>
              <w:rPr>
                <w:rFonts w:ascii="Times New Roman"/>
                <w:sz w:val="21"/>
              </w:rPr>
            </w:pPr>
            <w:r>
              <w:rPr>
                <w:rFonts w:ascii="Times New Roman"/>
                <w:sz w:val="21"/>
              </w:rPr>
              <w:t>26.8</w:t>
            </w:r>
          </w:p>
        </w:tc>
        <w:tc>
          <w:tcPr>
            <w:tcW w:w="622" w:type="dxa"/>
            <w:gridSpan w:val="2"/>
            <w:tcBorders>
              <w:bottom w:val="single" w:sz="8" w:space="0" w:color="000000"/>
            </w:tcBorders>
          </w:tcPr>
          <w:p>
            <w:pPr>
              <w:pStyle w:val="TableParagraph"/>
              <w:spacing w:before="139"/>
              <w:ind w:left="67"/>
              <w:jc w:val="left"/>
              <w:rPr>
                <w:rFonts w:ascii="Times New Roman"/>
                <w:sz w:val="21"/>
              </w:rPr>
            </w:pPr>
            <w:r>
              <w:rPr>
                <w:rFonts w:ascii="Times New Roman"/>
                <w:sz w:val="21"/>
              </w:rPr>
              <w:t>24.4</w:t>
            </w:r>
          </w:p>
        </w:tc>
      </w:tr>
    </w:tbl>
    <w:p>
      <w:pPr>
        <w:rPr>
          <w:sz w:val="2"/>
          <w:szCs w:val="2"/>
        </w:rPr>
      </w:pPr>
      <w:r>
        <w:rPr/>
        <w:pict>
          <v:group style="position:absolute;margin-left:89.889pt;margin-top:387.634979pt;width:415.7pt;height:72.55pt;mso-position-horizontal-relative:page;mso-position-vertical-relative:page;z-index:-197224" coordorigin="1798,7753" coordsize="8314,1451">
            <v:line style="position:absolute" from="1812,7767" to="2842,7767" stroked="true" strokeweight=".72pt" strokecolor="#000000">
              <v:stroke dashstyle="solid"/>
            </v:line>
            <v:line style="position:absolute" from="2856,7767" to="7122,7767" stroked="true" strokeweight=".72pt" strokecolor="#000000">
              <v:stroke dashstyle="solid"/>
            </v:line>
            <v:line style="position:absolute" from="7137,7767" to="10096,7767" stroked="true" strokeweight=".72pt" strokecolor="#000000">
              <v:stroke dashstyle="solid"/>
            </v:line>
            <v:line style="position:absolute" from="1812,8123" to="2842,8123" stroked="true" strokeweight=".72pt" strokecolor="#000000">
              <v:stroke dashstyle="solid"/>
            </v:line>
            <v:line style="position:absolute" from="2856,8123" to="7122,8123" stroked="true" strokeweight=".72pt" strokecolor="#000000">
              <v:stroke dashstyle="solid"/>
            </v:line>
            <v:line style="position:absolute" from="7137,8123" to="10096,8123" stroked="true" strokeweight=".72pt" strokecolor="#000000">
              <v:stroke dashstyle="solid"/>
            </v:line>
            <v:line style="position:absolute" from="1812,8478" to="2842,8478" stroked="true" strokeweight=".72pt" strokecolor="#000000">
              <v:stroke dashstyle="solid"/>
            </v:line>
            <v:line style="position:absolute" from="2856,8478" to="7122,8478" stroked="true" strokeweight=".72pt" strokecolor="#000000">
              <v:stroke dashstyle="solid"/>
            </v:line>
            <v:line style="position:absolute" from="7137,8478" to="10096,8478" stroked="true" strokeweight=".72pt" strokecolor="#000000">
              <v:stroke dashstyle="solid"/>
            </v:line>
            <v:line style="position:absolute" from="1812,8833" to="2842,8833" stroked="true" strokeweight=".72pt" strokecolor="#000000">
              <v:stroke dashstyle="solid"/>
            </v:line>
            <v:line style="position:absolute" from="2856,8833" to="7122,8833" stroked="true" strokeweight=".72pt" strokecolor="#000000">
              <v:stroke dashstyle="solid"/>
            </v:line>
            <v:line style="position:absolute" from="7137,8833" to="10096,8833" stroked="true" strokeweight=".72pt" strokecolor="#000000">
              <v:stroke dashstyle="solid"/>
            </v:line>
            <v:line style="position:absolute" from="1805,7760" to="1805,9196" stroked="true" strokeweight=".72pt" strokecolor="#000000">
              <v:stroke dashstyle="solid"/>
            </v:line>
            <v:line style="position:absolute" from="1812,9189" to="2842,9189" stroked="true" strokeweight=".72pt" strokecolor="#000000">
              <v:stroke dashstyle="solid"/>
            </v:line>
            <v:line style="position:absolute" from="2849,7760" to="2849,9196" stroked="true" strokeweight=".72pt" strokecolor="#000000">
              <v:stroke dashstyle="solid"/>
            </v:line>
            <v:line style="position:absolute" from="2856,9189" to="7122,9189" stroked="true" strokeweight=".72pt" strokecolor="#000000">
              <v:stroke dashstyle="solid"/>
            </v:line>
            <v:line style="position:absolute" from="7129,7760" to="7129,9196" stroked="true" strokeweight=".72pt" strokecolor="#000000">
              <v:stroke dashstyle="solid"/>
            </v:line>
            <v:line style="position:absolute" from="7137,9189" to="10096,9189" stroked="true" strokeweight=".72pt" strokecolor="#000000">
              <v:stroke dashstyle="solid"/>
            </v:line>
            <v:line style="position:absolute" from="10104,7760" to="10104,9196" stroked="true" strokeweight=".72pt" strokecolor="#000000">
              <v:stroke dashstyle="solid"/>
            </v:line>
            <w10:wrap type="none"/>
          </v:group>
        </w:pict>
      </w:r>
      <w:r>
        <w:rPr/>
        <w:pict>
          <v:shape style="position:absolute;margin-left:90.264pt;margin-top:388.369965pt;width:414.95pt;height:71.1pt;mso-position-horizontal-relative:page;mso-position-vertical-relative:page;z-index:32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44"/>
                    <w:gridCol w:w="4280"/>
                    <w:gridCol w:w="2974"/>
                  </w:tblGrid>
                  <w:tr>
                    <w:trPr>
                      <w:trHeight w:val="355" w:hRule="exact"/>
                    </w:trPr>
                    <w:tc>
                      <w:tcPr>
                        <w:tcW w:w="1044" w:type="dxa"/>
                      </w:tcPr>
                      <w:p>
                        <w:pPr/>
                      </w:p>
                    </w:tc>
                    <w:tc>
                      <w:tcPr>
                        <w:tcW w:w="4280" w:type="dxa"/>
                      </w:tcPr>
                      <w:p>
                        <w:pPr/>
                      </w:p>
                    </w:tc>
                    <w:tc>
                      <w:tcPr>
                        <w:tcW w:w="2974" w:type="dxa"/>
                      </w:tcPr>
                      <w:p>
                        <w:pPr/>
                      </w:p>
                    </w:tc>
                  </w:tr>
                  <w:tr>
                    <w:trPr>
                      <w:trHeight w:val="356"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88"/>
        <w:gridCol w:w="782"/>
        <w:gridCol w:w="713"/>
        <w:gridCol w:w="840"/>
        <w:gridCol w:w="583"/>
        <w:gridCol w:w="499"/>
        <w:gridCol w:w="490"/>
        <w:gridCol w:w="516"/>
        <w:gridCol w:w="518"/>
        <w:gridCol w:w="518"/>
        <w:gridCol w:w="521"/>
        <w:gridCol w:w="531"/>
        <w:gridCol w:w="509"/>
        <w:gridCol w:w="622"/>
      </w:tblGrid>
      <w:tr>
        <w:trPr>
          <w:trHeight w:val="564" w:hRule="exact"/>
        </w:trPr>
        <w:tc>
          <w:tcPr>
            <w:tcW w:w="888" w:type="dxa"/>
            <w:vMerge w:val="restart"/>
          </w:tcPr>
          <w:p>
            <w:pPr/>
          </w:p>
        </w:tc>
        <w:tc>
          <w:tcPr>
            <w:tcW w:w="782" w:type="dxa"/>
            <w:vMerge w:val="restart"/>
          </w:tcPr>
          <w:p>
            <w:pPr>
              <w:pStyle w:val="TableParagraph"/>
              <w:spacing w:before="2"/>
              <w:jc w:val="left"/>
              <w:rPr>
                <w:rFonts w:ascii="Symbol" w:hAnsi="Symbol"/>
                <w:sz w:val="24"/>
              </w:rPr>
            </w:pPr>
          </w:p>
          <w:p>
            <w:pPr>
              <w:pStyle w:val="TableParagraph"/>
              <w:spacing w:line="228" w:lineRule="exact"/>
              <w:ind w:left="156" w:right="156"/>
              <w:rPr>
                <w:rFonts w:ascii="Times New Roman"/>
                <w:sz w:val="21"/>
              </w:rPr>
            </w:pPr>
            <w:r>
              <w:rPr>
                <w:rFonts w:ascii="Times New Roman"/>
                <w:sz w:val="21"/>
              </w:rPr>
              <w:t>2028</w:t>
            </w:r>
          </w:p>
          <w:p>
            <w:pPr>
              <w:pStyle w:val="TableParagraph"/>
              <w:spacing w:line="261" w:lineRule="exact"/>
              <w:ind w:right="2"/>
              <w:rPr>
                <w:sz w:val="21"/>
              </w:rPr>
            </w:pPr>
            <w:r>
              <w:rPr>
                <w:w w:val="100"/>
                <w:sz w:val="21"/>
              </w:rPr>
              <w:t>年</w:t>
            </w:r>
          </w:p>
        </w:tc>
        <w:tc>
          <w:tcPr>
            <w:tcW w:w="713" w:type="dxa"/>
          </w:tcPr>
          <w:p>
            <w:pPr>
              <w:pStyle w:val="TableParagraph"/>
              <w:spacing w:before="112"/>
              <w:ind w:left="122" w:right="121"/>
              <w:rPr>
                <w:sz w:val="21"/>
              </w:rPr>
            </w:pPr>
            <w:r>
              <w:rPr>
                <w:sz w:val="21"/>
              </w:rPr>
              <w:t>昼间</w:t>
            </w:r>
          </w:p>
        </w:tc>
        <w:tc>
          <w:tcPr>
            <w:tcW w:w="840" w:type="dxa"/>
          </w:tcPr>
          <w:p>
            <w:pPr>
              <w:pStyle w:val="TableParagraph"/>
              <w:spacing w:line="274" w:lineRule="exact" w:before="1"/>
              <w:ind w:left="307" w:right="189" w:hanging="106"/>
              <w:jc w:val="left"/>
              <w:rPr>
                <w:sz w:val="21"/>
              </w:rPr>
            </w:pPr>
            <w:r>
              <w:rPr>
                <w:sz w:val="21"/>
              </w:rPr>
              <w:t>贡献值</w:t>
            </w:r>
          </w:p>
        </w:tc>
        <w:tc>
          <w:tcPr>
            <w:tcW w:w="583" w:type="dxa"/>
          </w:tcPr>
          <w:p>
            <w:pPr>
              <w:pStyle w:val="TableParagraph"/>
              <w:spacing w:before="157"/>
              <w:ind w:right="-3"/>
              <w:jc w:val="right"/>
              <w:rPr>
                <w:sz w:val="21"/>
              </w:rPr>
            </w:pPr>
            <w:r>
              <w:rPr>
                <w:rFonts w:ascii="Times New Roman"/>
                <w:sz w:val="21"/>
              </w:rPr>
              <w:t>53.4</w:t>
            </w:r>
            <w:r>
              <w:rPr>
                <w:sz w:val="21"/>
              </w:rPr>
              <w:t> </w:t>
            </w:r>
          </w:p>
        </w:tc>
        <w:tc>
          <w:tcPr>
            <w:tcW w:w="499" w:type="dxa"/>
          </w:tcPr>
          <w:p>
            <w:pPr>
              <w:pStyle w:val="TableParagraph"/>
              <w:spacing w:before="157"/>
              <w:ind w:left="47"/>
              <w:jc w:val="left"/>
              <w:rPr>
                <w:rFonts w:ascii="Times New Roman"/>
                <w:sz w:val="21"/>
              </w:rPr>
            </w:pPr>
            <w:r>
              <w:rPr>
                <w:rFonts w:ascii="Times New Roman"/>
                <w:sz w:val="21"/>
              </w:rPr>
              <w:t>49.1</w:t>
            </w:r>
          </w:p>
        </w:tc>
        <w:tc>
          <w:tcPr>
            <w:tcW w:w="490" w:type="dxa"/>
          </w:tcPr>
          <w:p>
            <w:pPr>
              <w:pStyle w:val="TableParagraph"/>
              <w:spacing w:before="157"/>
              <w:ind w:left="18" w:right="14"/>
              <w:rPr>
                <w:rFonts w:ascii="Times New Roman"/>
                <w:sz w:val="21"/>
              </w:rPr>
            </w:pPr>
            <w:r>
              <w:rPr>
                <w:rFonts w:ascii="Times New Roman"/>
                <w:sz w:val="21"/>
              </w:rPr>
              <w:t>46.2</w:t>
            </w:r>
          </w:p>
        </w:tc>
        <w:tc>
          <w:tcPr>
            <w:tcW w:w="516" w:type="dxa"/>
          </w:tcPr>
          <w:p>
            <w:pPr>
              <w:pStyle w:val="TableParagraph"/>
              <w:spacing w:before="157"/>
              <w:ind w:left="69" w:right="29"/>
              <w:rPr>
                <w:rFonts w:ascii="Times New Roman"/>
                <w:sz w:val="21"/>
              </w:rPr>
            </w:pPr>
            <w:r>
              <w:rPr>
                <w:rFonts w:ascii="Times New Roman"/>
                <w:sz w:val="21"/>
              </w:rPr>
              <w:t>44.1</w:t>
            </w:r>
          </w:p>
        </w:tc>
        <w:tc>
          <w:tcPr>
            <w:tcW w:w="518" w:type="dxa"/>
          </w:tcPr>
          <w:p>
            <w:pPr>
              <w:pStyle w:val="TableParagraph"/>
              <w:spacing w:before="157"/>
              <w:ind w:left="67"/>
              <w:jc w:val="left"/>
              <w:rPr>
                <w:rFonts w:ascii="Times New Roman"/>
                <w:sz w:val="21"/>
              </w:rPr>
            </w:pPr>
            <w:r>
              <w:rPr>
                <w:rFonts w:ascii="Times New Roman"/>
                <w:sz w:val="21"/>
              </w:rPr>
              <w:t>41.0</w:t>
            </w:r>
          </w:p>
        </w:tc>
        <w:tc>
          <w:tcPr>
            <w:tcW w:w="518" w:type="dxa"/>
          </w:tcPr>
          <w:p>
            <w:pPr>
              <w:pStyle w:val="TableParagraph"/>
              <w:spacing w:before="157"/>
              <w:ind w:right="67"/>
              <w:jc w:val="right"/>
              <w:rPr>
                <w:rFonts w:ascii="Times New Roman"/>
                <w:sz w:val="21"/>
              </w:rPr>
            </w:pPr>
            <w:r>
              <w:rPr>
                <w:rFonts w:ascii="Times New Roman"/>
                <w:sz w:val="21"/>
              </w:rPr>
              <w:t>38.7</w:t>
            </w:r>
          </w:p>
        </w:tc>
        <w:tc>
          <w:tcPr>
            <w:tcW w:w="521" w:type="dxa"/>
          </w:tcPr>
          <w:p>
            <w:pPr>
              <w:pStyle w:val="TableParagraph"/>
              <w:spacing w:before="157"/>
              <w:rPr>
                <w:rFonts w:ascii="Times New Roman"/>
                <w:sz w:val="21"/>
              </w:rPr>
            </w:pPr>
            <w:r>
              <w:rPr>
                <w:rFonts w:ascii="Times New Roman"/>
                <w:sz w:val="21"/>
              </w:rPr>
              <w:t>36.8</w:t>
            </w:r>
          </w:p>
        </w:tc>
        <w:tc>
          <w:tcPr>
            <w:tcW w:w="531" w:type="dxa"/>
          </w:tcPr>
          <w:p>
            <w:pPr>
              <w:pStyle w:val="TableParagraph"/>
              <w:spacing w:before="157"/>
              <w:ind w:left="49" w:right="63"/>
              <w:rPr>
                <w:rFonts w:ascii="Times New Roman"/>
                <w:sz w:val="21"/>
              </w:rPr>
            </w:pPr>
            <w:r>
              <w:rPr>
                <w:rFonts w:ascii="Times New Roman"/>
                <w:sz w:val="21"/>
              </w:rPr>
              <w:t>35.3</w:t>
            </w:r>
          </w:p>
        </w:tc>
        <w:tc>
          <w:tcPr>
            <w:tcW w:w="509" w:type="dxa"/>
          </w:tcPr>
          <w:p>
            <w:pPr>
              <w:pStyle w:val="TableParagraph"/>
              <w:spacing w:before="157"/>
              <w:ind w:left="55"/>
              <w:jc w:val="left"/>
              <w:rPr>
                <w:rFonts w:ascii="Times New Roman"/>
                <w:sz w:val="21"/>
              </w:rPr>
            </w:pPr>
            <w:r>
              <w:rPr>
                <w:rFonts w:ascii="Times New Roman"/>
                <w:sz w:val="21"/>
              </w:rPr>
              <w:t>33.5</w:t>
            </w:r>
          </w:p>
        </w:tc>
        <w:tc>
          <w:tcPr>
            <w:tcW w:w="622" w:type="dxa"/>
          </w:tcPr>
          <w:p>
            <w:pPr>
              <w:pStyle w:val="TableParagraph"/>
              <w:spacing w:before="157"/>
              <w:ind w:left="67"/>
              <w:jc w:val="left"/>
              <w:rPr>
                <w:rFonts w:ascii="Times New Roman"/>
                <w:sz w:val="21"/>
              </w:rPr>
            </w:pPr>
            <w:r>
              <w:rPr>
                <w:rFonts w:ascii="Times New Roman"/>
                <w:sz w:val="21"/>
              </w:rPr>
              <w:t>31.1</w:t>
            </w:r>
          </w:p>
        </w:tc>
      </w:tr>
      <w:tr>
        <w:trPr>
          <w:trHeight w:val="557" w:hRule="exact"/>
        </w:trPr>
        <w:tc>
          <w:tcPr>
            <w:tcW w:w="888" w:type="dxa"/>
            <w:vMerge/>
          </w:tcPr>
          <w:p>
            <w:pPr/>
          </w:p>
        </w:tc>
        <w:tc>
          <w:tcPr>
            <w:tcW w:w="782" w:type="dxa"/>
            <w:vMerge/>
          </w:tcPr>
          <w:p>
            <w:pPr/>
          </w:p>
        </w:tc>
        <w:tc>
          <w:tcPr>
            <w:tcW w:w="713" w:type="dxa"/>
          </w:tcPr>
          <w:p>
            <w:pPr>
              <w:pStyle w:val="TableParagraph"/>
              <w:spacing w:before="102"/>
              <w:ind w:left="122" w:right="121"/>
              <w:rPr>
                <w:sz w:val="21"/>
              </w:rPr>
            </w:pPr>
            <w:r>
              <w:rPr>
                <w:sz w:val="21"/>
              </w:rPr>
              <w:t>夜间</w:t>
            </w:r>
          </w:p>
        </w:tc>
        <w:tc>
          <w:tcPr>
            <w:tcW w:w="840" w:type="dxa"/>
          </w:tcPr>
          <w:p>
            <w:pPr>
              <w:pStyle w:val="TableParagraph"/>
              <w:spacing w:line="240" w:lineRule="exact"/>
              <w:ind w:left="184" w:right="186"/>
              <w:rPr>
                <w:sz w:val="21"/>
              </w:rPr>
            </w:pPr>
            <w:r>
              <w:rPr>
                <w:sz w:val="21"/>
              </w:rPr>
              <w:t>贡献</w:t>
            </w:r>
          </w:p>
          <w:p>
            <w:pPr>
              <w:pStyle w:val="TableParagraph"/>
              <w:spacing w:line="274" w:lineRule="exact"/>
              <w:ind w:right="2"/>
              <w:rPr>
                <w:sz w:val="21"/>
              </w:rPr>
            </w:pPr>
            <w:r>
              <w:rPr>
                <w:w w:val="100"/>
                <w:sz w:val="21"/>
              </w:rPr>
              <w:t>值</w:t>
            </w:r>
          </w:p>
        </w:tc>
        <w:tc>
          <w:tcPr>
            <w:tcW w:w="583" w:type="dxa"/>
          </w:tcPr>
          <w:p>
            <w:pPr>
              <w:pStyle w:val="TableParagraph"/>
              <w:spacing w:before="147"/>
              <w:ind w:right="-3"/>
              <w:jc w:val="right"/>
              <w:rPr>
                <w:sz w:val="21"/>
              </w:rPr>
            </w:pPr>
            <w:r>
              <w:rPr>
                <w:rFonts w:ascii="Times New Roman"/>
                <w:sz w:val="21"/>
              </w:rPr>
              <w:t>47.4</w:t>
            </w:r>
            <w:r>
              <w:rPr>
                <w:sz w:val="21"/>
              </w:rPr>
              <w:t> </w:t>
            </w:r>
          </w:p>
        </w:tc>
        <w:tc>
          <w:tcPr>
            <w:tcW w:w="499" w:type="dxa"/>
          </w:tcPr>
          <w:p>
            <w:pPr>
              <w:pStyle w:val="TableParagraph"/>
              <w:spacing w:before="147"/>
              <w:ind w:left="47"/>
              <w:jc w:val="left"/>
              <w:rPr>
                <w:rFonts w:ascii="Times New Roman"/>
                <w:sz w:val="21"/>
              </w:rPr>
            </w:pPr>
            <w:r>
              <w:rPr>
                <w:rFonts w:ascii="Times New Roman"/>
                <w:sz w:val="21"/>
              </w:rPr>
              <w:t>43.1</w:t>
            </w:r>
          </w:p>
        </w:tc>
        <w:tc>
          <w:tcPr>
            <w:tcW w:w="490" w:type="dxa"/>
          </w:tcPr>
          <w:p>
            <w:pPr>
              <w:pStyle w:val="TableParagraph"/>
              <w:spacing w:before="147"/>
              <w:ind w:left="18" w:right="14"/>
              <w:rPr>
                <w:rFonts w:ascii="Times New Roman"/>
                <w:sz w:val="21"/>
              </w:rPr>
            </w:pPr>
            <w:r>
              <w:rPr>
                <w:rFonts w:ascii="Times New Roman"/>
                <w:sz w:val="21"/>
              </w:rPr>
              <w:t>40.3</w:t>
            </w:r>
          </w:p>
        </w:tc>
        <w:tc>
          <w:tcPr>
            <w:tcW w:w="516" w:type="dxa"/>
          </w:tcPr>
          <w:p>
            <w:pPr>
              <w:pStyle w:val="TableParagraph"/>
              <w:spacing w:before="147"/>
              <w:ind w:left="69" w:right="29"/>
              <w:rPr>
                <w:rFonts w:ascii="Times New Roman"/>
                <w:sz w:val="21"/>
              </w:rPr>
            </w:pPr>
            <w:r>
              <w:rPr>
                <w:rFonts w:ascii="Times New Roman"/>
                <w:sz w:val="21"/>
              </w:rPr>
              <w:t>38.1</w:t>
            </w:r>
          </w:p>
        </w:tc>
        <w:tc>
          <w:tcPr>
            <w:tcW w:w="518" w:type="dxa"/>
          </w:tcPr>
          <w:p>
            <w:pPr>
              <w:pStyle w:val="TableParagraph"/>
              <w:spacing w:before="147"/>
              <w:ind w:left="67"/>
              <w:jc w:val="left"/>
              <w:rPr>
                <w:rFonts w:ascii="Times New Roman"/>
                <w:sz w:val="21"/>
              </w:rPr>
            </w:pPr>
            <w:r>
              <w:rPr>
                <w:rFonts w:ascii="Times New Roman"/>
                <w:sz w:val="21"/>
              </w:rPr>
              <w:t>35.0</w:t>
            </w:r>
          </w:p>
        </w:tc>
        <w:tc>
          <w:tcPr>
            <w:tcW w:w="518" w:type="dxa"/>
          </w:tcPr>
          <w:p>
            <w:pPr>
              <w:pStyle w:val="TableParagraph"/>
              <w:spacing w:before="147"/>
              <w:ind w:right="67"/>
              <w:jc w:val="right"/>
              <w:rPr>
                <w:rFonts w:ascii="Times New Roman"/>
                <w:sz w:val="21"/>
              </w:rPr>
            </w:pPr>
            <w:r>
              <w:rPr>
                <w:rFonts w:ascii="Times New Roman"/>
                <w:sz w:val="21"/>
              </w:rPr>
              <w:t>32.7</w:t>
            </w:r>
          </w:p>
        </w:tc>
        <w:tc>
          <w:tcPr>
            <w:tcW w:w="521" w:type="dxa"/>
          </w:tcPr>
          <w:p>
            <w:pPr>
              <w:pStyle w:val="TableParagraph"/>
              <w:spacing w:before="147"/>
              <w:rPr>
                <w:rFonts w:ascii="Times New Roman"/>
                <w:sz w:val="21"/>
              </w:rPr>
            </w:pPr>
            <w:r>
              <w:rPr>
                <w:rFonts w:ascii="Times New Roman"/>
                <w:sz w:val="21"/>
              </w:rPr>
              <w:t>30.9</w:t>
            </w:r>
          </w:p>
        </w:tc>
        <w:tc>
          <w:tcPr>
            <w:tcW w:w="531" w:type="dxa"/>
          </w:tcPr>
          <w:p>
            <w:pPr>
              <w:pStyle w:val="TableParagraph"/>
              <w:spacing w:before="147"/>
              <w:ind w:left="49" w:right="63"/>
              <w:rPr>
                <w:rFonts w:ascii="Times New Roman"/>
                <w:sz w:val="21"/>
              </w:rPr>
            </w:pPr>
            <w:r>
              <w:rPr>
                <w:rFonts w:ascii="Times New Roman"/>
                <w:sz w:val="21"/>
              </w:rPr>
              <w:t>29.4</w:t>
            </w:r>
          </w:p>
        </w:tc>
        <w:tc>
          <w:tcPr>
            <w:tcW w:w="509" w:type="dxa"/>
          </w:tcPr>
          <w:p>
            <w:pPr>
              <w:pStyle w:val="TableParagraph"/>
              <w:spacing w:before="147"/>
              <w:ind w:left="55"/>
              <w:jc w:val="left"/>
              <w:rPr>
                <w:rFonts w:ascii="Times New Roman"/>
                <w:sz w:val="21"/>
              </w:rPr>
            </w:pPr>
            <w:r>
              <w:rPr>
                <w:rFonts w:ascii="Times New Roman"/>
                <w:sz w:val="21"/>
              </w:rPr>
              <w:t>27.6</w:t>
            </w:r>
          </w:p>
        </w:tc>
        <w:tc>
          <w:tcPr>
            <w:tcW w:w="622" w:type="dxa"/>
          </w:tcPr>
          <w:p>
            <w:pPr>
              <w:pStyle w:val="TableParagraph"/>
              <w:spacing w:before="147"/>
              <w:ind w:left="67"/>
              <w:jc w:val="left"/>
              <w:rPr>
                <w:rFonts w:ascii="Times New Roman"/>
                <w:sz w:val="21"/>
              </w:rPr>
            </w:pPr>
            <w:r>
              <w:rPr>
                <w:rFonts w:ascii="Times New Roman"/>
                <w:sz w:val="21"/>
              </w:rPr>
              <w:t>25.1</w:t>
            </w:r>
          </w:p>
        </w:tc>
      </w:tr>
      <w:tr>
        <w:trPr>
          <w:trHeight w:val="12832" w:hRule="exact"/>
        </w:trPr>
        <w:tc>
          <w:tcPr>
            <w:tcW w:w="8531" w:type="dxa"/>
            <w:gridSpan w:val="14"/>
          </w:tcPr>
          <w:p>
            <w:pPr>
              <w:pStyle w:val="TableParagraph"/>
              <w:spacing w:line="292" w:lineRule="exact"/>
              <w:ind w:left="583"/>
              <w:jc w:val="left"/>
              <w:rPr>
                <w:sz w:val="24"/>
              </w:rPr>
            </w:pPr>
            <w:r>
              <w:rPr>
                <w:sz w:val="24"/>
              </w:rPr>
              <w:t>该项目周边 </w:t>
            </w:r>
            <w:r>
              <w:rPr>
                <w:rFonts w:ascii="Times New Roman" w:eastAsia="Times New Roman"/>
                <w:sz w:val="24"/>
              </w:rPr>
              <w:t>200m </w:t>
            </w:r>
            <w:r>
              <w:rPr>
                <w:sz w:val="24"/>
              </w:rPr>
              <w:t>范围内噪声敏感点，本次环评进行预测。敏感点处的噪声</w:t>
            </w:r>
          </w:p>
          <w:p>
            <w:pPr>
              <w:pStyle w:val="TableParagraph"/>
              <w:spacing w:before="133"/>
              <w:ind w:left="103"/>
              <w:jc w:val="left"/>
              <w:rPr>
                <w:sz w:val="24"/>
              </w:rPr>
            </w:pPr>
            <w:r>
              <w:rPr>
                <w:sz w:val="24"/>
              </w:rPr>
              <w:t>预测结果见下表。</w:t>
            </w:r>
          </w:p>
          <w:p>
            <w:pPr>
              <w:pStyle w:val="TableParagraph"/>
              <w:tabs>
                <w:tab w:pos="3754" w:val="left" w:leader="none"/>
              </w:tabs>
              <w:spacing w:before="153"/>
              <w:ind w:right="1"/>
              <w:rPr>
                <w:b/>
                <w:sz w:val="24"/>
              </w:rPr>
            </w:pPr>
            <w:r>
              <w:rPr>
                <w:b/>
                <w:sz w:val="24"/>
              </w:rPr>
              <w:t>表</w:t>
            </w:r>
            <w:r>
              <w:rPr>
                <w:b/>
                <w:spacing w:val="-60"/>
                <w:sz w:val="24"/>
              </w:rPr>
              <w:t> </w:t>
            </w:r>
            <w:r>
              <w:rPr>
                <w:rFonts w:ascii="Times New Roman" w:eastAsia="Times New Roman"/>
                <w:b/>
                <w:sz w:val="24"/>
              </w:rPr>
              <w:t>7-8</w:t>
            </w:r>
            <w:r>
              <w:rPr>
                <w:rFonts w:ascii="Times New Roman" w:eastAsia="Times New Roman"/>
                <w:b/>
                <w:spacing w:val="58"/>
                <w:sz w:val="24"/>
              </w:rPr>
              <w:t> </w:t>
            </w:r>
            <w:r>
              <w:rPr>
                <w:b/>
                <w:sz w:val="24"/>
              </w:rPr>
              <w:t>营运期敏感点预测结果</w:t>
              <w:tab/>
            </w:r>
            <w:r>
              <w:rPr>
                <w:b/>
                <w:w w:val="95"/>
                <w:sz w:val="24"/>
              </w:rPr>
              <w:t>单位：</w:t>
            </w:r>
            <w:r>
              <w:rPr>
                <w:rFonts w:ascii="Times New Roman" w:eastAsia="Times New Roman"/>
                <w:b/>
                <w:w w:val="95"/>
                <w:sz w:val="24"/>
              </w:rPr>
              <w:t>dB</w:t>
            </w:r>
            <w:r>
              <w:rPr>
                <w:b/>
                <w:w w:val="95"/>
                <w:sz w:val="24"/>
              </w:rPr>
              <w:t>（</w:t>
            </w:r>
            <w:r>
              <w:rPr>
                <w:rFonts w:ascii="Times New Roman" w:eastAsia="Times New Roman"/>
                <w:b/>
                <w:w w:val="95"/>
                <w:sz w:val="24"/>
              </w:rPr>
              <w:t>A</w:t>
            </w:r>
            <w:r>
              <w:rPr>
                <w:b/>
                <w:w w:val="95"/>
                <w:sz w:val="24"/>
              </w:rPr>
              <w:t>）</w:t>
            </w: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spacing w:before="5"/>
              <w:jc w:val="left"/>
              <w:rPr>
                <w:rFonts w:ascii="Symbol" w:hAnsi="Symbol"/>
                <w:sz w:val="29"/>
              </w:rPr>
            </w:pPr>
          </w:p>
          <w:p>
            <w:pPr>
              <w:pStyle w:val="TableParagraph"/>
              <w:spacing w:line="343" w:lineRule="auto"/>
              <w:ind w:left="103" w:firstLine="479"/>
              <w:jc w:val="left"/>
              <w:rPr>
                <w:sz w:val="24"/>
              </w:rPr>
            </w:pPr>
            <w:r>
              <w:rPr>
                <w:spacing w:val="-14"/>
                <w:sz w:val="24"/>
              </w:rPr>
              <w:t>评价根据《声环境质量标准》，本项目为城市次干路，道路两侧距红线 </w:t>
            </w:r>
            <w:r>
              <w:rPr>
                <w:rFonts w:ascii="Times New Roman" w:eastAsia="Times New Roman"/>
                <w:sz w:val="24"/>
              </w:rPr>
              <w:t>35m </w:t>
            </w:r>
            <w:r>
              <w:rPr>
                <w:spacing w:val="-9"/>
                <w:sz w:val="24"/>
              </w:rPr>
              <w:t>以内区域执行 </w:t>
            </w:r>
            <w:r>
              <w:rPr>
                <w:rFonts w:ascii="Times New Roman" w:eastAsia="Times New Roman"/>
                <w:sz w:val="24"/>
              </w:rPr>
              <w:t>4a </w:t>
            </w:r>
            <w:r>
              <w:rPr>
                <w:spacing w:val="-2"/>
                <w:sz w:val="24"/>
              </w:rPr>
              <w:t>类，</w:t>
            </w:r>
            <w:r>
              <w:rPr>
                <w:rFonts w:ascii="Times New Roman" w:eastAsia="Times New Roman"/>
                <w:spacing w:val="-3"/>
                <w:sz w:val="24"/>
              </w:rPr>
              <w:t>35m </w:t>
            </w:r>
            <w:r>
              <w:rPr>
                <w:spacing w:val="-12"/>
                <w:sz w:val="24"/>
              </w:rPr>
              <w:t>以外执行 </w:t>
            </w:r>
            <w:r>
              <w:rPr>
                <w:rFonts w:ascii="Times New Roman" w:eastAsia="Times New Roman"/>
                <w:sz w:val="24"/>
              </w:rPr>
              <w:t>2 </w:t>
            </w:r>
            <w:r>
              <w:rPr>
                <w:spacing w:val="-12"/>
                <w:sz w:val="24"/>
              </w:rPr>
              <w:t>类标准。由表 </w:t>
            </w:r>
            <w:r>
              <w:rPr>
                <w:rFonts w:ascii="Times New Roman" w:eastAsia="Times New Roman"/>
                <w:sz w:val="24"/>
              </w:rPr>
              <w:t>7-7</w:t>
            </w:r>
            <w:r>
              <w:rPr>
                <w:spacing w:val="-15"/>
                <w:sz w:val="24"/>
              </w:rPr>
              <w:t>、</w:t>
            </w:r>
            <w:r>
              <w:rPr>
                <w:rFonts w:ascii="Times New Roman" w:eastAsia="Times New Roman"/>
                <w:sz w:val="24"/>
              </w:rPr>
              <w:t>7-8 </w:t>
            </w:r>
            <w:r>
              <w:rPr>
                <w:spacing w:val="-3"/>
                <w:sz w:val="24"/>
              </w:rPr>
              <w:t>预测结果可知，项</w:t>
            </w:r>
            <w:r>
              <w:rPr>
                <w:spacing w:val="-5"/>
                <w:sz w:val="24"/>
              </w:rPr>
              <w:t>目营运期各特征年昼夜预测值、敏感点处昼夜预测值均达到《声环境质量标准》</w:t>
            </w:r>
            <w:r>
              <w:rPr>
                <w:spacing w:val="-1"/>
                <w:sz w:val="24"/>
              </w:rPr>
              <w:t>相应标准要求，对声环境影响较小。</w:t>
            </w:r>
          </w:p>
          <w:p>
            <w:pPr>
              <w:pStyle w:val="TableParagraph"/>
              <w:spacing w:before="50"/>
              <w:ind w:left="583"/>
              <w:jc w:val="left"/>
              <w:rPr>
                <w:sz w:val="24"/>
              </w:rPr>
            </w:pPr>
            <w:r>
              <w:rPr>
                <w:sz w:val="24"/>
              </w:rPr>
              <w:t>（</w:t>
            </w:r>
            <w:r>
              <w:rPr>
                <w:rFonts w:ascii="Times New Roman" w:eastAsia="Times New Roman"/>
                <w:sz w:val="24"/>
              </w:rPr>
              <w:t>8</w:t>
            </w:r>
            <w:r>
              <w:rPr>
                <w:sz w:val="24"/>
              </w:rPr>
              <w:t>）建设规划建议</w:t>
            </w:r>
          </w:p>
          <w:p>
            <w:pPr>
              <w:pStyle w:val="TableParagraph"/>
              <w:spacing w:before="133"/>
              <w:ind w:left="583"/>
              <w:jc w:val="left"/>
              <w:rPr>
                <w:sz w:val="24"/>
              </w:rPr>
            </w:pPr>
            <w:r>
              <w:rPr>
                <w:spacing w:val="-6"/>
                <w:sz w:val="24"/>
              </w:rPr>
              <w:t>根据《中华人民共和国环境噪声污染防治法</w:t>
            </w:r>
            <w:r>
              <w:rPr>
                <w:spacing w:val="-19"/>
                <w:sz w:val="24"/>
              </w:rPr>
              <w:t>》“第二章、第十一条”的规定：</w:t>
            </w:r>
          </w:p>
          <w:p>
            <w:pPr>
              <w:pStyle w:val="TableParagraph"/>
              <w:spacing w:line="348" w:lineRule="auto" w:before="153"/>
              <w:ind w:left="103" w:right="105"/>
              <w:jc w:val="left"/>
              <w:rPr>
                <w:sz w:val="24"/>
              </w:rPr>
            </w:pPr>
            <w:r>
              <w:rPr>
                <w:sz w:val="24"/>
              </w:rPr>
              <w:t>“城市规划部门在确定建筑物布局时，应当依据国家声环境质量标准和民用建</w:t>
            </w:r>
            <w:r>
              <w:rPr>
                <w:spacing w:val="-4"/>
                <w:sz w:val="24"/>
              </w:rPr>
              <w:t>筑设计 规范，合理规定建筑物与交通干道的防噪声距离，并提出相应的规划设</w:t>
            </w:r>
            <w:r>
              <w:rPr>
                <w:spacing w:val="-3"/>
                <w:sz w:val="24"/>
              </w:rPr>
              <w:t>计要求”的精神，相关部门在本项目沿线进行规划时需参照本工程噪声预测结</w:t>
            </w:r>
            <w:r>
              <w:rPr>
                <w:spacing w:val="-5"/>
                <w:sz w:val="24"/>
              </w:rPr>
              <w:t>果，对沿线所经土地进行合理规划，严格控制土地的使用功能。由表 </w:t>
            </w:r>
            <w:r>
              <w:rPr>
                <w:rFonts w:ascii="Times New Roman" w:hAnsi="Times New Roman" w:eastAsia="Times New Roman"/>
                <w:sz w:val="24"/>
              </w:rPr>
              <w:t>7-7</w:t>
            </w:r>
            <w:r>
              <w:rPr>
                <w:rFonts w:ascii="Times New Roman" w:hAnsi="Times New Roman" w:eastAsia="Times New Roman"/>
                <w:spacing w:val="-1"/>
                <w:sz w:val="24"/>
              </w:rPr>
              <w:t> </w:t>
            </w:r>
            <w:r>
              <w:rPr>
                <w:sz w:val="24"/>
              </w:rPr>
              <w:t>可知， 道路营运近期（</w:t>
            </w:r>
            <w:r>
              <w:rPr>
                <w:rFonts w:ascii="Times New Roman" w:hAnsi="Times New Roman" w:eastAsia="Times New Roman"/>
                <w:sz w:val="24"/>
              </w:rPr>
              <w:t>2018</w:t>
            </w:r>
            <w:r>
              <w:rPr>
                <w:rFonts w:ascii="Times New Roman" w:hAnsi="Times New Roman" w:eastAsia="Times New Roman"/>
                <w:spacing w:val="23"/>
                <w:sz w:val="24"/>
              </w:rPr>
              <w:t> </w:t>
            </w:r>
            <w:r>
              <w:rPr>
                <w:sz w:val="24"/>
              </w:rPr>
              <w:t>年</w:t>
            </w:r>
            <w:r>
              <w:rPr>
                <w:spacing w:val="-120"/>
                <w:sz w:val="24"/>
              </w:rPr>
              <w:t>）</w:t>
            </w:r>
            <w:r>
              <w:rPr>
                <w:sz w:val="24"/>
              </w:rPr>
              <w:t>、中期（</w:t>
            </w:r>
            <w:r>
              <w:rPr>
                <w:rFonts w:ascii="Times New Roman" w:hAnsi="Times New Roman" w:eastAsia="Times New Roman"/>
                <w:sz w:val="24"/>
              </w:rPr>
              <w:t>2023</w:t>
            </w:r>
            <w:r>
              <w:rPr>
                <w:rFonts w:ascii="Times New Roman" w:hAnsi="Times New Roman" w:eastAsia="Times New Roman"/>
                <w:spacing w:val="23"/>
                <w:sz w:val="24"/>
              </w:rPr>
              <w:t> </w:t>
            </w:r>
            <w:r>
              <w:rPr>
                <w:sz w:val="24"/>
              </w:rPr>
              <w:t>年）和远期（</w:t>
            </w:r>
            <w:r>
              <w:rPr>
                <w:rFonts w:ascii="Times New Roman" w:hAnsi="Times New Roman" w:eastAsia="Times New Roman"/>
                <w:sz w:val="24"/>
              </w:rPr>
              <w:t>2028</w:t>
            </w:r>
            <w:r>
              <w:rPr>
                <w:rFonts w:ascii="Times New Roman" w:hAnsi="Times New Roman" w:eastAsia="Times New Roman"/>
                <w:spacing w:val="23"/>
                <w:sz w:val="24"/>
              </w:rPr>
              <w:t> </w:t>
            </w:r>
            <w:r>
              <w:rPr>
                <w:sz w:val="24"/>
              </w:rPr>
              <w:t>年）</w:t>
            </w:r>
            <w:r>
              <w:rPr>
                <w:rFonts w:ascii="Times New Roman" w:hAnsi="Times New Roman" w:eastAsia="Times New Roman"/>
                <w:sz w:val="24"/>
              </w:rPr>
              <w:t>2</w:t>
            </w:r>
            <w:r>
              <w:rPr>
                <w:rFonts w:ascii="Times New Roman" w:hAnsi="Times New Roman" w:eastAsia="Times New Roman"/>
                <w:spacing w:val="23"/>
                <w:sz w:val="24"/>
              </w:rPr>
              <w:t> </w:t>
            </w:r>
            <w:r>
              <w:rPr>
                <w:sz w:val="24"/>
              </w:rPr>
              <w:t>类标准下昼夜间交通噪声的达标距离均为</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p>
          <w:p>
            <w:pPr>
              <w:pStyle w:val="TableParagraph"/>
              <w:spacing w:line="357" w:lineRule="auto" w:before="16"/>
              <w:ind w:left="103" w:right="-2" w:firstLine="479"/>
              <w:jc w:val="left"/>
              <w:rPr>
                <w:sz w:val="24"/>
              </w:rPr>
            </w:pPr>
            <w:r>
              <w:rPr>
                <w:sz w:val="24"/>
              </w:rPr>
              <w:t>在噪声规划控制距离内不宜新建居民区、学校、医院等对噪声敏感的建筑。如必须在道路噪声防护距离之内新建居民住宅、学校、医院、居民区等敏感点时，采取了，应按照《中华人民共和国环境噪声污染防治法》的规定，由建设单位考虑优化建筑布局或合理规划临近道路的第一排房屋的建筑使用功能，同时采取隔声、降噪治理措施，使室内环境能够达到相应的使用功能噪声标准要求。</w:t>
            </w:r>
          </w:p>
          <w:p>
            <w:pPr>
              <w:pStyle w:val="TableParagraph"/>
              <w:spacing w:before="36"/>
              <w:ind w:left="583"/>
              <w:jc w:val="left"/>
              <w:rPr>
                <w:sz w:val="24"/>
              </w:rPr>
            </w:pPr>
            <w:r>
              <w:rPr>
                <w:sz w:val="24"/>
              </w:rPr>
              <w:t>为了减少项目营运期对周边声环境的影响，环评建议采取以下措施：</w:t>
            </w:r>
          </w:p>
          <w:p>
            <w:pPr>
              <w:pStyle w:val="TableParagraph"/>
              <w:spacing w:before="152"/>
              <w:ind w:left="583"/>
              <w:jc w:val="left"/>
              <w:rPr>
                <w:sz w:val="24"/>
              </w:rPr>
            </w:pPr>
            <w:r>
              <w:rPr>
                <w:sz w:val="24"/>
              </w:rPr>
              <w:t>①加强交通管理，禁止噪声过大的旧车上路，限制高噪声的机动车辆上路；</w:t>
            </w:r>
          </w:p>
        </w:tc>
      </w:tr>
    </w:tbl>
    <w:p>
      <w:pPr>
        <w:rPr>
          <w:sz w:val="2"/>
          <w:szCs w:val="2"/>
        </w:rPr>
      </w:pPr>
      <w:r>
        <w:rPr/>
        <w:pict>
          <v:shape style="position:absolute;margin-left:88.944pt;margin-top:198.499985pt;width:418.05pt;height:86.35pt;mso-position-horizontal-relative:page;mso-position-vertical-relative:page;z-index:3256"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905"/>
                    <w:gridCol w:w="886"/>
                    <w:gridCol w:w="891"/>
                    <w:gridCol w:w="818"/>
                    <w:gridCol w:w="766"/>
                    <w:gridCol w:w="872"/>
                    <w:gridCol w:w="816"/>
                    <w:gridCol w:w="818"/>
                    <w:gridCol w:w="821"/>
                    <w:gridCol w:w="746"/>
                  </w:tblGrid>
                  <w:tr>
                    <w:trPr>
                      <w:trHeight w:val="343" w:hRule="exact"/>
                    </w:trPr>
                    <w:tc>
                      <w:tcPr>
                        <w:tcW w:w="905" w:type="dxa"/>
                        <w:vMerge w:val="restart"/>
                        <w:tcBorders>
                          <w:right w:val="single" w:sz="4" w:space="0" w:color="000000"/>
                        </w:tcBorders>
                      </w:tcPr>
                      <w:p>
                        <w:pPr>
                          <w:pStyle w:val="TableParagraph"/>
                          <w:spacing w:before="10"/>
                          <w:jc w:val="left"/>
                          <w:rPr>
                            <w:rFonts w:ascii="Symbol" w:hAnsi="Symbol"/>
                            <w:sz w:val="14"/>
                          </w:rPr>
                        </w:pPr>
                      </w:p>
                      <w:p>
                        <w:pPr>
                          <w:pStyle w:val="TableParagraph"/>
                          <w:ind w:left="232"/>
                          <w:jc w:val="left"/>
                          <w:rPr>
                            <w:sz w:val="21"/>
                          </w:rPr>
                        </w:pPr>
                        <w:r>
                          <w:rPr>
                            <w:sz w:val="21"/>
                          </w:rPr>
                          <w:t>名称</w:t>
                        </w:r>
                      </w:p>
                    </w:tc>
                    <w:tc>
                      <w:tcPr>
                        <w:tcW w:w="886" w:type="dxa"/>
                        <w:vMerge w:val="restart"/>
                        <w:tcBorders>
                          <w:left w:val="single" w:sz="4" w:space="0" w:color="000000"/>
                          <w:right w:val="single" w:sz="4" w:space="0" w:color="000000"/>
                        </w:tcBorders>
                      </w:tcPr>
                      <w:p>
                        <w:pPr>
                          <w:pStyle w:val="TableParagraph"/>
                          <w:spacing w:line="244" w:lineRule="auto" w:before="40"/>
                          <w:ind w:left="122" w:hanging="106"/>
                          <w:jc w:val="left"/>
                          <w:rPr>
                            <w:sz w:val="21"/>
                          </w:rPr>
                        </w:pPr>
                        <w:r>
                          <w:rPr>
                            <w:sz w:val="21"/>
                          </w:rPr>
                          <w:t>与道路红线距离</w:t>
                        </w:r>
                      </w:p>
                    </w:tc>
                    <w:tc>
                      <w:tcPr>
                        <w:tcW w:w="891" w:type="dxa"/>
                        <w:vMerge w:val="restart"/>
                        <w:tcBorders>
                          <w:left w:val="single" w:sz="4" w:space="0" w:color="000000"/>
                        </w:tcBorders>
                      </w:tcPr>
                      <w:p>
                        <w:pPr>
                          <w:pStyle w:val="TableParagraph"/>
                          <w:spacing w:before="10"/>
                          <w:jc w:val="left"/>
                          <w:rPr>
                            <w:rFonts w:ascii="Symbol" w:hAnsi="Symbol"/>
                            <w:sz w:val="14"/>
                          </w:rPr>
                        </w:pPr>
                      </w:p>
                      <w:p>
                        <w:pPr>
                          <w:pStyle w:val="TableParagraph"/>
                          <w:ind w:left="228"/>
                          <w:jc w:val="left"/>
                          <w:rPr>
                            <w:sz w:val="21"/>
                          </w:rPr>
                        </w:pPr>
                        <w:r>
                          <w:rPr>
                            <w:sz w:val="21"/>
                          </w:rPr>
                          <w:t>类别</w:t>
                        </w:r>
                      </w:p>
                    </w:tc>
                    <w:tc>
                      <w:tcPr>
                        <w:tcW w:w="1584" w:type="dxa"/>
                        <w:gridSpan w:val="2"/>
                      </w:tcPr>
                      <w:p>
                        <w:pPr>
                          <w:pStyle w:val="TableParagraph"/>
                          <w:spacing w:line="283" w:lineRule="exact"/>
                          <w:ind w:left="441"/>
                          <w:jc w:val="left"/>
                          <w:rPr>
                            <w:sz w:val="21"/>
                          </w:rPr>
                        </w:pPr>
                        <w:r>
                          <w:rPr>
                            <w:rFonts w:ascii="Times New Roman" w:eastAsia="Times New Roman"/>
                            <w:sz w:val="21"/>
                          </w:rPr>
                          <w:t>2018 </w:t>
                        </w:r>
                        <w:r>
                          <w:rPr>
                            <w:sz w:val="21"/>
                          </w:rPr>
                          <w:t>年</w:t>
                        </w:r>
                      </w:p>
                    </w:tc>
                    <w:tc>
                      <w:tcPr>
                        <w:tcW w:w="1688" w:type="dxa"/>
                        <w:gridSpan w:val="2"/>
                      </w:tcPr>
                      <w:p>
                        <w:pPr>
                          <w:pStyle w:val="TableParagraph"/>
                          <w:spacing w:line="283" w:lineRule="exact"/>
                          <w:ind w:left="494"/>
                          <w:jc w:val="left"/>
                          <w:rPr>
                            <w:sz w:val="21"/>
                          </w:rPr>
                        </w:pPr>
                        <w:r>
                          <w:rPr>
                            <w:rFonts w:ascii="Times New Roman" w:eastAsia="Times New Roman"/>
                            <w:sz w:val="21"/>
                          </w:rPr>
                          <w:t>2023 </w:t>
                        </w:r>
                        <w:r>
                          <w:rPr>
                            <w:sz w:val="21"/>
                          </w:rPr>
                          <w:t>年</w:t>
                        </w:r>
                      </w:p>
                    </w:tc>
                    <w:tc>
                      <w:tcPr>
                        <w:tcW w:w="1640" w:type="dxa"/>
                        <w:gridSpan w:val="2"/>
                        <w:tcBorders>
                          <w:right w:val="single" w:sz="4" w:space="0" w:color="000000"/>
                        </w:tcBorders>
                      </w:tcPr>
                      <w:p>
                        <w:pPr>
                          <w:pStyle w:val="TableParagraph"/>
                          <w:spacing w:line="283" w:lineRule="exact"/>
                          <w:ind w:left="470"/>
                          <w:jc w:val="left"/>
                          <w:rPr>
                            <w:sz w:val="21"/>
                          </w:rPr>
                        </w:pPr>
                        <w:r>
                          <w:rPr>
                            <w:rFonts w:ascii="Times New Roman" w:eastAsia="Times New Roman"/>
                            <w:sz w:val="21"/>
                          </w:rPr>
                          <w:t>2028 </w:t>
                        </w:r>
                        <w:r>
                          <w:rPr>
                            <w:sz w:val="21"/>
                          </w:rPr>
                          <w:t>年</w:t>
                        </w:r>
                      </w:p>
                    </w:tc>
                    <w:tc>
                      <w:tcPr>
                        <w:tcW w:w="746" w:type="dxa"/>
                        <w:vMerge w:val="restart"/>
                        <w:tcBorders>
                          <w:left w:val="single" w:sz="4" w:space="0" w:color="000000"/>
                        </w:tcBorders>
                      </w:tcPr>
                      <w:p>
                        <w:pPr>
                          <w:pStyle w:val="TableParagraph"/>
                          <w:spacing w:line="244" w:lineRule="auto" w:before="40"/>
                          <w:ind w:left="156" w:right="138"/>
                          <w:jc w:val="left"/>
                          <w:rPr>
                            <w:sz w:val="21"/>
                          </w:rPr>
                        </w:pPr>
                        <w:r>
                          <w:rPr>
                            <w:sz w:val="21"/>
                          </w:rPr>
                          <w:t>标准限值</w:t>
                        </w: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vMerge/>
                        <w:tcBorders>
                          <w:left w:val="single" w:sz="4" w:space="0" w:color="000000"/>
                        </w:tcBorders>
                      </w:tcPr>
                      <w:p>
                        <w:pPr/>
                      </w:p>
                    </w:tc>
                    <w:tc>
                      <w:tcPr>
                        <w:tcW w:w="818" w:type="dxa"/>
                      </w:tcPr>
                      <w:p>
                        <w:pPr>
                          <w:pStyle w:val="TableParagraph"/>
                          <w:spacing w:before="9"/>
                          <w:ind w:left="189"/>
                          <w:jc w:val="left"/>
                          <w:rPr>
                            <w:sz w:val="21"/>
                          </w:rPr>
                        </w:pPr>
                        <w:r>
                          <w:rPr>
                            <w:sz w:val="21"/>
                          </w:rPr>
                          <w:t>昼间</w:t>
                        </w:r>
                      </w:p>
                    </w:tc>
                    <w:tc>
                      <w:tcPr>
                        <w:tcW w:w="766" w:type="dxa"/>
                      </w:tcPr>
                      <w:p>
                        <w:pPr>
                          <w:pStyle w:val="TableParagraph"/>
                          <w:spacing w:before="9"/>
                          <w:ind w:left="165"/>
                          <w:jc w:val="left"/>
                          <w:rPr>
                            <w:sz w:val="21"/>
                          </w:rPr>
                        </w:pPr>
                        <w:r>
                          <w:rPr>
                            <w:sz w:val="21"/>
                          </w:rPr>
                          <w:t>夜间</w:t>
                        </w:r>
                      </w:p>
                    </w:tc>
                    <w:tc>
                      <w:tcPr>
                        <w:tcW w:w="872" w:type="dxa"/>
                      </w:tcPr>
                      <w:p>
                        <w:pPr>
                          <w:pStyle w:val="TableParagraph"/>
                          <w:spacing w:before="9"/>
                          <w:ind w:left="216"/>
                          <w:jc w:val="left"/>
                          <w:rPr>
                            <w:sz w:val="21"/>
                          </w:rPr>
                        </w:pPr>
                        <w:r>
                          <w:rPr>
                            <w:sz w:val="21"/>
                          </w:rPr>
                          <w:t>昼间</w:t>
                        </w:r>
                      </w:p>
                    </w:tc>
                    <w:tc>
                      <w:tcPr>
                        <w:tcW w:w="816" w:type="dxa"/>
                      </w:tcPr>
                      <w:p>
                        <w:pPr>
                          <w:pStyle w:val="TableParagraph"/>
                          <w:spacing w:before="9"/>
                          <w:ind w:left="133" w:right="133"/>
                          <w:rPr>
                            <w:sz w:val="21"/>
                          </w:rPr>
                        </w:pPr>
                        <w:r>
                          <w:rPr>
                            <w:sz w:val="21"/>
                          </w:rPr>
                          <w:t>夜间</w:t>
                        </w:r>
                      </w:p>
                    </w:tc>
                    <w:tc>
                      <w:tcPr>
                        <w:tcW w:w="818" w:type="dxa"/>
                      </w:tcPr>
                      <w:p>
                        <w:pPr>
                          <w:pStyle w:val="TableParagraph"/>
                          <w:spacing w:before="9"/>
                          <w:ind w:left="189"/>
                          <w:jc w:val="left"/>
                          <w:rPr>
                            <w:sz w:val="21"/>
                          </w:rPr>
                        </w:pPr>
                        <w:r>
                          <w:rPr>
                            <w:sz w:val="21"/>
                          </w:rPr>
                          <w:t>昼间</w:t>
                        </w:r>
                      </w:p>
                    </w:tc>
                    <w:tc>
                      <w:tcPr>
                        <w:tcW w:w="821" w:type="dxa"/>
                        <w:tcBorders>
                          <w:right w:val="single" w:sz="4" w:space="0" w:color="000000"/>
                        </w:tcBorders>
                      </w:tcPr>
                      <w:p>
                        <w:pPr>
                          <w:pStyle w:val="TableParagraph"/>
                          <w:spacing w:before="9"/>
                          <w:ind w:left="136" w:right="138"/>
                          <w:rPr>
                            <w:sz w:val="21"/>
                          </w:rPr>
                        </w:pPr>
                        <w:r>
                          <w:rPr>
                            <w:sz w:val="21"/>
                          </w:rPr>
                          <w:t>夜间</w:t>
                        </w:r>
                      </w:p>
                    </w:tc>
                    <w:tc>
                      <w:tcPr>
                        <w:tcW w:w="746" w:type="dxa"/>
                        <w:vMerge/>
                        <w:tcBorders>
                          <w:left w:val="single" w:sz="4" w:space="0" w:color="000000"/>
                        </w:tcBorders>
                      </w:tcPr>
                      <w:p>
                        <w:pPr/>
                      </w:p>
                    </w:tc>
                  </w:tr>
                  <w:tr>
                    <w:trPr>
                      <w:trHeight w:val="343" w:hRule="exact"/>
                    </w:trPr>
                    <w:tc>
                      <w:tcPr>
                        <w:tcW w:w="905" w:type="dxa"/>
                        <w:vMerge w:val="restart"/>
                        <w:tcBorders>
                          <w:right w:val="single" w:sz="4" w:space="0" w:color="000000"/>
                        </w:tcBorders>
                      </w:tcPr>
                      <w:p>
                        <w:pPr>
                          <w:pStyle w:val="TableParagraph"/>
                          <w:spacing w:before="9"/>
                          <w:jc w:val="left"/>
                          <w:rPr>
                            <w:rFonts w:ascii="Symbol" w:hAnsi="Symbol"/>
                            <w:sz w:val="28"/>
                          </w:rPr>
                        </w:pPr>
                      </w:p>
                      <w:p>
                        <w:pPr>
                          <w:pStyle w:val="TableParagraph"/>
                          <w:spacing w:before="1"/>
                          <w:ind w:left="24"/>
                          <w:jc w:val="left"/>
                          <w:rPr>
                            <w:sz w:val="21"/>
                          </w:rPr>
                        </w:pPr>
                        <w:r>
                          <w:rPr>
                            <w:sz w:val="21"/>
                          </w:rPr>
                          <w:t>最近居民</w:t>
                        </w:r>
                      </w:p>
                    </w:tc>
                    <w:tc>
                      <w:tcPr>
                        <w:tcW w:w="886" w:type="dxa"/>
                        <w:vMerge w:val="restart"/>
                        <w:tcBorders>
                          <w:left w:val="single" w:sz="4" w:space="0" w:color="000000"/>
                          <w:right w:val="single" w:sz="4" w:space="0" w:color="000000"/>
                        </w:tcBorders>
                      </w:tcPr>
                      <w:p>
                        <w:pPr>
                          <w:pStyle w:val="TableParagraph"/>
                          <w:spacing w:before="10"/>
                          <w:jc w:val="left"/>
                          <w:rPr>
                            <w:rFonts w:ascii="Symbol" w:hAnsi="Symbol"/>
                            <w:sz w:val="32"/>
                          </w:rPr>
                        </w:pPr>
                      </w:p>
                      <w:p>
                        <w:pPr>
                          <w:pStyle w:val="TableParagraph"/>
                          <w:ind w:left="249"/>
                          <w:jc w:val="left"/>
                          <w:rPr>
                            <w:rFonts w:ascii="Times New Roman"/>
                            <w:sz w:val="21"/>
                          </w:rPr>
                        </w:pPr>
                        <w:r>
                          <w:rPr>
                            <w:rFonts w:ascii="Times New Roman"/>
                            <w:sz w:val="21"/>
                          </w:rPr>
                          <w:t>10m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44"/>
                          <w:ind w:left="215"/>
                          <w:jc w:val="left"/>
                          <w:rPr>
                            <w:rFonts w:ascii="Times New Roman"/>
                            <w:sz w:val="21"/>
                          </w:rPr>
                        </w:pPr>
                        <w:r>
                          <w:rPr>
                            <w:rFonts w:ascii="Times New Roman"/>
                            <w:sz w:val="21"/>
                          </w:rPr>
                          <w:t>50.4</w:t>
                        </w:r>
                      </w:p>
                    </w:tc>
                    <w:tc>
                      <w:tcPr>
                        <w:tcW w:w="766" w:type="dxa"/>
                      </w:tcPr>
                      <w:p>
                        <w:pPr>
                          <w:pStyle w:val="TableParagraph"/>
                          <w:spacing w:before="44"/>
                          <w:ind w:left="191"/>
                          <w:jc w:val="left"/>
                          <w:rPr>
                            <w:sz w:val="22"/>
                          </w:rPr>
                        </w:pPr>
                        <w:r>
                          <w:rPr>
                            <w:rFonts w:ascii="Times New Roman"/>
                            <w:sz w:val="21"/>
                          </w:rPr>
                          <w:t>44.4</w:t>
                        </w:r>
                        <w:r>
                          <w:rPr>
                            <w:w w:val="100"/>
                            <w:sz w:val="22"/>
                          </w:rPr>
                          <w:t> </w:t>
                        </w:r>
                      </w:p>
                    </w:tc>
                    <w:tc>
                      <w:tcPr>
                        <w:tcW w:w="872" w:type="dxa"/>
                      </w:tcPr>
                      <w:p>
                        <w:pPr>
                          <w:pStyle w:val="TableParagraph"/>
                          <w:spacing w:before="44"/>
                          <w:ind w:left="242"/>
                          <w:jc w:val="left"/>
                          <w:rPr>
                            <w:sz w:val="22"/>
                          </w:rPr>
                        </w:pPr>
                        <w:r>
                          <w:rPr>
                            <w:rFonts w:ascii="Times New Roman"/>
                            <w:sz w:val="21"/>
                          </w:rPr>
                          <w:t>52.7</w:t>
                        </w:r>
                        <w:r>
                          <w:rPr>
                            <w:w w:val="100"/>
                            <w:sz w:val="22"/>
                          </w:rPr>
                          <w:t> </w:t>
                        </w:r>
                      </w:p>
                    </w:tc>
                    <w:tc>
                      <w:tcPr>
                        <w:tcW w:w="816" w:type="dxa"/>
                      </w:tcPr>
                      <w:p>
                        <w:pPr>
                          <w:pStyle w:val="TableParagraph"/>
                          <w:spacing w:before="39"/>
                          <w:ind w:left="144" w:right="34"/>
                          <w:rPr>
                            <w:sz w:val="22"/>
                          </w:rPr>
                        </w:pPr>
                        <w:r>
                          <w:rPr>
                            <w:rFonts w:ascii="Times New Roman"/>
                            <w:sz w:val="22"/>
                          </w:rPr>
                          <w:t>46.7</w:t>
                        </w:r>
                        <w:r>
                          <w:rPr>
                            <w:sz w:val="22"/>
                          </w:rPr>
                          <w:t> </w:t>
                        </w:r>
                      </w:p>
                    </w:tc>
                    <w:tc>
                      <w:tcPr>
                        <w:tcW w:w="818" w:type="dxa"/>
                      </w:tcPr>
                      <w:p>
                        <w:pPr>
                          <w:pStyle w:val="TableParagraph"/>
                          <w:spacing w:before="39"/>
                          <w:ind w:left="208"/>
                          <w:jc w:val="left"/>
                          <w:rPr>
                            <w:sz w:val="22"/>
                          </w:rPr>
                        </w:pPr>
                        <w:r>
                          <w:rPr>
                            <w:rFonts w:ascii="Times New Roman"/>
                            <w:sz w:val="22"/>
                          </w:rPr>
                          <w:t>53.4</w:t>
                        </w:r>
                        <w:r>
                          <w:rPr>
                            <w:sz w:val="22"/>
                          </w:rPr>
                          <w:t> </w:t>
                        </w:r>
                      </w:p>
                    </w:tc>
                    <w:tc>
                      <w:tcPr>
                        <w:tcW w:w="821" w:type="dxa"/>
                        <w:tcBorders>
                          <w:right w:val="single" w:sz="4" w:space="0" w:color="000000"/>
                        </w:tcBorders>
                      </w:tcPr>
                      <w:p>
                        <w:pPr>
                          <w:pStyle w:val="TableParagraph"/>
                          <w:spacing w:before="39"/>
                          <w:ind w:left="147" w:right="39"/>
                          <w:rPr>
                            <w:sz w:val="22"/>
                          </w:rPr>
                        </w:pPr>
                        <w:r>
                          <w:rPr>
                            <w:rFonts w:ascii="Times New Roman"/>
                            <w:sz w:val="22"/>
                          </w:rPr>
                          <w:t>47.4</w:t>
                        </w:r>
                        <w:r>
                          <w:rPr>
                            <w:sz w:val="22"/>
                          </w:rPr>
                          <w:t> </w:t>
                        </w:r>
                      </w:p>
                    </w:tc>
                    <w:tc>
                      <w:tcPr>
                        <w:tcW w:w="746" w:type="dxa"/>
                        <w:vMerge w:val="restart"/>
                        <w:tcBorders>
                          <w:left w:val="single" w:sz="4" w:space="0" w:color="000000"/>
                        </w:tcBorders>
                      </w:tcPr>
                      <w:p>
                        <w:pPr>
                          <w:pStyle w:val="TableParagraph"/>
                          <w:spacing w:before="5"/>
                          <w:jc w:val="left"/>
                          <w:rPr>
                            <w:rFonts w:ascii="Symbol" w:hAnsi="Symbol"/>
                            <w:sz w:val="17"/>
                          </w:rPr>
                        </w:pPr>
                      </w:p>
                      <w:p>
                        <w:pPr>
                          <w:pStyle w:val="TableParagraph"/>
                          <w:spacing w:line="285" w:lineRule="exact"/>
                          <w:ind w:left="26"/>
                          <w:jc w:val="left"/>
                          <w:rPr>
                            <w:rFonts w:ascii="Times New Roman" w:eastAsia="Times New Roman"/>
                            <w:sz w:val="21"/>
                          </w:rPr>
                        </w:pPr>
                        <w:r>
                          <w:rPr>
                            <w:spacing w:val="-17"/>
                            <w:sz w:val="21"/>
                          </w:rPr>
                          <w:t>昼间 </w:t>
                        </w:r>
                        <w:r>
                          <w:rPr>
                            <w:rFonts w:ascii="Times New Roman" w:eastAsia="Times New Roman"/>
                            <w:spacing w:val="-3"/>
                            <w:sz w:val="21"/>
                          </w:rPr>
                          <w:t>70</w:t>
                        </w:r>
                      </w:p>
                      <w:p>
                        <w:pPr>
                          <w:pStyle w:val="TableParagraph"/>
                          <w:spacing w:line="285" w:lineRule="exact"/>
                          <w:ind w:left="26"/>
                          <w:jc w:val="left"/>
                          <w:rPr>
                            <w:rFonts w:ascii="Times New Roman" w:eastAsia="Times New Roman"/>
                            <w:sz w:val="21"/>
                          </w:rPr>
                        </w:pPr>
                        <w:r>
                          <w:rPr>
                            <w:spacing w:val="-17"/>
                            <w:sz w:val="21"/>
                          </w:rPr>
                          <w:t>夜间 </w:t>
                        </w:r>
                        <w:r>
                          <w:rPr>
                            <w:rFonts w:ascii="Times New Roman" w:eastAsia="Times New Roman"/>
                            <w:spacing w:val="-3"/>
                            <w:sz w:val="21"/>
                          </w:rPr>
                          <w:t>55</w:t>
                        </w: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现状值</w:t>
                        </w:r>
                      </w:p>
                    </w:tc>
                    <w:tc>
                      <w:tcPr>
                        <w:tcW w:w="818" w:type="dxa"/>
                      </w:tcPr>
                      <w:p>
                        <w:pPr>
                          <w:pStyle w:val="TableParagraph"/>
                          <w:spacing w:before="8"/>
                          <w:ind w:left="215"/>
                          <w:jc w:val="left"/>
                          <w:rPr>
                            <w:rFonts w:ascii="Times New Roman"/>
                            <w:sz w:val="21"/>
                          </w:rPr>
                        </w:pPr>
                        <w:r>
                          <w:rPr>
                            <w:rFonts w:ascii="Times New Roman"/>
                            <w:sz w:val="21"/>
                          </w:rPr>
                          <w:t>52.1</w:t>
                        </w:r>
                      </w:p>
                    </w:tc>
                    <w:tc>
                      <w:tcPr>
                        <w:tcW w:w="766" w:type="dxa"/>
                      </w:tcPr>
                      <w:p>
                        <w:pPr>
                          <w:pStyle w:val="TableParagraph"/>
                          <w:spacing w:before="8"/>
                          <w:ind w:left="191"/>
                          <w:jc w:val="left"/>
                          <w:rPr>
                            <w:rFonts w:ascii="Times New Roman"/>
                            <w:sz w:val="21"/>
                          </w:rPr>
                        </w:pPr>
                        <w:r>
                          <w:rPr>
                            <w:rFonts w:ascii="Times New Roman"/>
                            <w:sz w:val="21"/>
                          </w:rPr>
                          <w:t>44.7</w:t>
                        </w:r>
                      </w:p>
                    </w:tc>
                    <w:tc>
                      <w:tcPr>
                        <w:tcW w:w="872" w:type="dxa"/>
                      </w:tcPr>
                      <w:p>
                        <w:pPr>
                          <w:pStyle w:val="TableParagraph"/>
                          <w:spacing w:before="8"/>
                          <w:ind w:left="242"/>
                          <w:jc w:val="left"/>
                          <w:rPr>
                            <w:rFonts w:ascii="Times New Roman"/>
                            <w:sz w:val="21"/>
                          </w:rPr>
                        </w:pPr>
                        <w:r>
                          <w:rPr>
                            <w:rFonts w:ascii="Times New Roman"/>
                            <w:sz w:val="21"/>
                          </w:rPr>
                          <w:t>52.1</w:t>
                        </w:r>
                      </w:p>
                    </w:tc>
                    <w:tc>
                      <w:tcPr>
                        <w:tcW w:w="816" w:type="dxa"/>
                      </w:tcPr>
                      <w:p>
                        <w:pPr>
                          <w:pStyle w:val="TableParagraph"/>
                          <w:spacing w:before="8"/>
                          <w:ind w:left="133" w:right="133"/>
                          <w:rPr>
                            <w:rFonts w:ascii="Times New Roman"/>
                            <w:sz w:val="21"/>
                          </w:rPr>
                        </w:pPr>
                        <w:r>
                          <w:rPr>
                            <w:rFonts w:ascii="Times New Roman"/>
                            <w:sz w:val="21"/>
                          </w:rPr>
                          <w:t>44.7</w:t>
                        </w:r>
                      </w:p>
                    </w:tc>
                    <w:tc>
                      <w:tcPr>
                        <w:tcW w:w="818" w:type="dxa"/>
                      </w:tcPr>
                      <w:p>
                        <w:pPr>
                          <w:pStyle w:val="TableParagraph"/>
                          <w:spacing w:before="8"/>
                          <w:ind w:left="216"/>
                          <w:jc w:val="left"/>
                          <w:rPr>
                            <w:rFonts w:ascii="Times New Roman"/>
                            <w:sz w:val="21"/>
                          </w:rPr>
                        </w:pPr>
                        <w:r>
                          <w:rPr>
                            <w:rFonts w:ascii="Times New Roman"/>
                            <w:sz w:val="21"/>
                          </w:rPr>
                          <w:t>52.1</w:t>
                        </w:r>
                      </w:p>
                    </w:tc>
                    <w:tc>
                      <w:tcPr>
                        <w:tcW w:w="821" w:type="dxa"/>
                        <w:tcBorders>
                          <w:right w:val="single" w:sz="4" w:space="0" w:color="000000"/>
                        </w:tcBorders>
                      </w:tcPr>
                      <w:p>
                        <w:pPr>
                          <w:pStyle w:val="TableParagraph"/>
                          <w:spacing w:before="8"/>
                          <w:ind w:left="136" w:right="138"/>
                          <w:rPr>
                            <w:rFonts w:ascii="Times New Roman"/>
                            <w:sz w:val="21"/>
                          </w:rPr>
                        </w:pPr>
                        <w:r>
                          <w:rPr>
                            <w:rFonts w:ascii="Times New Roman"/>
                            <w:sz w:val="21"/>
                          </w:rPr>
                          <w:t>44.7</w:t>
                        </w:r>
                      </w:p>
                    </w:tc>
                    <w:tc>
                      <w:tcPr>
                        <w:tcW w:w="746" w:type="dxa"/>
                        <w:vMerge/>
                        <w:tcBorders>
                          <w:left w:val="single" w:sz="4" w:space="0" w:color="000000"/>
                        </w:tcBorders>
                      </w:tcPr>
                      <w:p>
                        <w:pP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叠加值</w:t>
                        </w:r>
                      </w:p>
                    </w:tc>
                    <w:tc>
                      <w:tcPr>
                        <w:tcW w:w="818" w:type="dxa"/>
                      </w:tcPr>
                      <w:p>
                        <w:pPr>
                          <w:pStyle w:val="TableParagraph"/>
                          <w:spacing w:before="44"/>
                          <w:ind w:left="163"/>
                          <w:jc w:val="left"/>
                          <w:rPr>
                            <w:rFonts w:ascii="Times New Roman"/>
                            <w:sz w:val="21"/>
                          </w:rPr>
                        </w:pPr>
                        <w:r>
                          <w:rPr>
                            <w:rFonts w:ascii="Times New Roman"/>
                            <w:sz w:val="21"/>
                          </w:rPr>
                          <w:t>54.34</w:t>
                        </w:r>
                      </w:p>
                    </w:tc>
                    <w:tc>
                      <w:tcPr>
                        <w:tcW w:w="766" w:type="dxa"/>
                      </w:tcPr>
                      <w:p>
                        <w:pPr>
                          <w:pStyle w:val="TableParagraph"/>
                          <w:spacing w:before="44"/>
                          <w:ind w:left="139"/>
                          <w:jc w:val="left"/>
                          <w:rPr>
                            <w:rFonts w:ascii="Times New Roman"/>
                            <w:sz w:val="21"/>
                          </w:rPr>
                        </w:pPr>
                        <w:r>
                          <w:rPr>
                            <w:rFonts w:ascii="Times New Roman"/>
                            <w:sz w:val="21"/>
                          </w:rPr>
                          <w:t>47.56</w:t>
                        </w:r>
                      </w:p>
                    </w:tc>
                    <w:tc>
                      <w:tcPr>
                        <w:tcW w:w="872" w:type="dxa"/>
                      </w:tcPr>
                      <w:p>
                        <w:pPr>
                          <w:pStyle w:val="TableParagraph"/>
                          <w:spacing w:before="44"/>
                          <w:ind w:left="189"/>
                          <w:jc w:val="left"/>
                          <w:rPr>
                            <w:rFonts w:ascii="Times New Roman"/>
                            <w:sz w:val="21"/>
                          </w:rPr>
                        </w:pPr>
                        <w:r>
                          <w:rPr>
                            <w:rFonts w:ascii="Times New Roman"/>
                            <w:sz w:val="21"/>
                          </w:rPr>
                          <w:t>55.42</w:t>
                        </w:r>
                      </w:p>
                    </w:tc>
                    <w:tc>
                      <w:tcPr>
                        <w:tcW w:w="816" w:type="dxa"/>
                      </w:tcPr>
                      <w:p>
                        <w:pPr>
                          <w:pStyle w:val="TableParagraph"/>
                          <w:spacing w:before="44"/>
                          <w:ind w:left="133" w:right="133"/>
                          <w:rPr>
                            <w:rFonts w:ascii="Times New Roman"/>
                            <w:sz w:val="21"/>
                          </w:rPr>
                        </w:pPr>
                        <w:r>
                          <w:rPr>
                            <w:rFonts w:ascii="Times New Roman"/>
                            <w:sz w:val="21"/>
                          </w:rPr>
                          <w:t>48.82</w:t>
                        </w:r>
                      </w:p>
                    </w:tc>
                    <w:tc>
                      <w:tcPr>
                        <w:tcW w:w="818" w:type="dxa"/>
                      </w:tcPr>
                      <w:p>
                        <w:pPr>
                          <w:pStyle w:val="TableParagraph"/>
                          <w:spacing w:before="44"/>
                          <w:ind w:left="163"/>
                          <w:jc w:val="left"/>
                          <w:rPr>
                            <w:rFonts w:ascii="Times New Roman"/>
                            <w:sz w:val="21"/>
                          </w:rPr>
                        </w:pPr>
                        <w:r>
                          <w:rPr>
                            <w:rFonts w:ascii="Times New Roman"/>
                            <w:sz w:val="21"/>
                          </w:rPr>
                          <w:t>55.81</w:t>
                        </w:r>
                      </w:p>
                    </w:tc>
                    <w:tc>
                      <w:tcPr>
                        <w:tcW w:w="821" w:type="dxa"/>
                        <w:tcBorders>
                          <w:right w:val="single" w:sz="4" w:space="0" w:color="000000"/>
                        </w:tcBorders>
                      </w:tcPr>
                      <w:p>
                        <w:pPr>
                          <w:pStyle w:val="TableParagraph"/>
                          <w:spacing w:before="44"/>
                          <w:ind w:left="136" w:right="138"/>
                          <w:rPr>
                            <w:rFonts w:ascii="Times New Roman"/>
                            <w:sz w:val="21"/>
                          </w:rPr>
                        </w:pPr>
                        <w:r>
                          <w:rPr>
                            <w:rFonts w:ascii="Times New Roman"/>
                            <w:sz w:val="21"/>
                          </w:rPr>
                          <w:t>49.27</w:t>
                        </w:r>
                      </w:p>
                    </w:tc>
                    <w:tc>
                      <w:tcPr>
                        <w:tcW w:w="746" w:type="dxa"/>
                        <w:vMerge/>
                        <w:tcBorders>
                          <w:left w:val="single" w:sz="4" w:space="0" w:color="000000"/>
                        </w:tcBorders>
                      </w:tcPr>
                      <w:p>
                        <w:pPr/>
                      </w:p>
                    </w:tc>
                  </w:tr>
                </w:tbl>
                <w:p>
                  <w:pPr>
                    <w:pStyle w:val="BodyText"/>
                  </w:pPr>
                </w:p>
              </w:txbxContent>
            </v:textbox>
            <w10:wrap type="none"/>
          </v:shape>
        </w:pict>
      </w:r>
      <w:r>
        <w:rPr/>
        <w:pict>
          <v:shape style="position:absolute;margin-left:89.124001pt;margin-top:198.679977pt;width:417.35pt;height:85.95pt;mso-position-horizontal-relative:page;mso-position-vertical-relative:page;z-index:328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08"/>
                    <w:gridCol w:w="886"/>
                    <w:gridCol w:w="891"/>
                    <w:gridCol w:w="818"/>
                    <w:gridCol w:w="766"/>
                    <w:gridCol w:w="872"/>
                    <w:gridCol w:w="816"/>
                    <w:gridCol w:w="818"/>
                    <w:gridCol w:w="821"/>
                    <w:gridCol w:w="750"/>
                  </w:tblGrid>
                  <w:tr>
                    <w:trPr>
                      <w:trHeight w:val="347" w:hRule="exact"/>
                    </w:trPr>
                    <w:tc>
                      <w:tcPr>
                        <w:tcW w:w="908" w:type="dxa"/>
                        <w:vMerge w:val="restart"/>
                      </w:tcPr>
                      <w:p>
                        <w:pPr/>
                      </w:p>
                    </w:tc>
                    <w:tc>
                      <w:tcPr>
                        <w:tcW w:w="886" w:type="dxa"/>
                        <w:vMerge w:val="restart"/>
                      </w:tcPr>
                      <w:p>
                        <w:pPr/>
                      </w:p>
                    </w:tc>
                    <w:tc>
                      <w:tcPr>
                        <w:tcW w:w="891" w:type="dxa"/>
                        <w:vMerge w:val="restart"/>
                      </w:tcPr>
                      <w:p>
                        <w:pPr/>
                      </w:p>
                    </w:tc>
                    <w:tc>
                      <w:tcPr>
                        <w:tcW w:w="1584" w:type="dxa"/>
                        <w:gridSpan w:val="2"/>
                      </w:tcPr>
                      <w:p>
                        <w:pPr/>
                      </w:p>
                    </w:tc>
                    <w:tc>
                      <w:tcPr>
                        <w:tcW w:w="1688" w:type="dxa"/>
                        <w:gridSpan w:val="2"/>
                      </w:tcPr>
                      <w:p>
                        <w:pPr/>
                      </w:p>
                    </w:tc>
                    <w:tc>
                      <w:tcPr>
                        <w:tcW w:w="1640" w:type="dxa"/>
                        <w:gridSpan w:val="2"/>
                      </w:tcPr>
                      <w:p>
                        <w:pPr/>
                      </w:p>
                    </w:tc>
                    <w:tc>
                      <w:tcPr>
                        <w:tcW w:w="750" w:type="dxa"/>
                        <w:vMerge w:val="restart"/>
                      </w:tcPr>
                      <w:p>
                        <w:pPr/>
                      </w:p>
                    </w:tc>
                  </w:tr>
                  <w:tr>
                    <w:trPr>
                      <w:trHeight w:val="341" w:hRule="exact"/>
                    </w:trPr>
                    <w:tc>
                      <w:tcPr>
                        <w:tcW w:w="908" w:type="dxa"/>
                        <w:vMerge/>
                      </w:tcPr>
                      <w:p>
                        <w:pPr/>
                      </w:p>
                    </w:tc>
                    <w:tc>
                      <w:tcPr>
                        <w:tcW w:w="886" w:type="dxa"/>
                        <w:vMerge/>
                      </w:tcPr>
                      <w:p>
                        <w:pPr/>
                      </w:p>
                    </w:tc>
                    <w:tc>
                      <w:tcPr>
                        <w:tcW w:w="891" w:type="dxa"/>
                        <w:vMerge/>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3"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val="restart"/>
                      </w:tcPr>
                      <w:p>
                        <w:pPr/>
                      </w:p>
                    </w:tc>
                  </w:tr>
                  <w:tr>
                    <w:trPr>
                      <w:trHeight w:val="341"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7"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57" w:lineRule="auto" w:before="9"/>
        <w:ind w:left="218" w:firstLine="479"/>
      </w:pPr>
      <w:r>
        <w:rPr/>
        <w:pict>
          <v:group style="position:absolute;margin-left:84.253998pt;margin-top:71.749977pt;width:427.1pt;height:698.7pt;mso-position-horizontal-relative:page;mso-position-vertical-relative:page;z-index:-19712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②严格项目交通管理，规范车辆交通行为，设置限速标志，禁止车辆超载、超速；</w:t>
      </w:r>
    </w:p>
    <w:p>
      <w:pPr>
        <w:pStyle w:val="BodyText"/>
        <w:spacing w:before="34"/>
        <w:ind w:left="638"/>
      </w:pPr>
      <w:r>
        <w:rPr>
          <w:spacing w:val="-16"/>
        </w:rPr>
        <w:t>③加强项目路面保养，保持路面平整，避免路况不佳造成车辆颠簸增大噪声；</w:t>
      </w:r>
    </w:p>
    <w:p>
      <w:pPr>
        <w:pStyle w:val="BodyText"/>
        <w:spacing w:before="154"/>
        <w:ind w:left="638"/>
      </w:pPr>
      <w:r>
        <w:rPr/>
        <w:t>④居民集中路段设置“禁鸣”标志，减少突发噪声的干扰。</w:t>
      </w:r>
    </w:p>
    <w:p>
      <w:pPr>
        <w:pStyle w:val="BodyText"/>
        <w:spacing w:line="357" w:lineRule="auto" w:before="151"/>
        <w:ind w:left="218" w:right="252" w:firstLine="479"/>
      </w:pPr>
      <w:r>
        <w:rPr/>
        <w:t>采取以上噪声防治措施后，营运期交通噪声不会对周围环境造成明显不利影响。</w:t>
      </w:r>
    </w:p>
    <w:p>
      <w:pPr>
        <w:pStyle w:val="Heading3"/>
        <w:spacing w:before="33"/>
      </w:pPr>
      <w:r>
        <w:rPr>
          <w:rFonts w:ascii="Times New Roman" w:eastAsia="Times New Roman"/>
          <w:w w:val="95"/>
        </w:rPr>
        <w:t>4</w:t>
      </w:r>
      <w:r>
        <w:rPr>
          <w:w w:val="95"/>
        </w:rPr>
        <w:t>、固废影响分析</w:t>
      </w:r>
    </w:p>
    <w:p>
      <w:pPr>
        <w:pStyle w:val="BodyText"/>
        <w:spacing w:line="357" w:lineRule="auto" w:before="135"/>
        <w:ind w:left="218" w:right="211" w:firstLine="479"/>
        <w:jc w:val="both"/>
      </w:pPr>
      <w:r>
        <w:rPr>
          <w:spacing w:val="-3"/>
        </w:rPr>
        <w:t>营运期固废主要是行人产生的生活废弃物和路面清扫产生的清扫垃圾。在桥</w:t>
      </w:r>
      <w:r>
        <w:rPr>
          <w:spacing w:val="-10"/>
        </w:rPr>
        <w:t>上设置垃圾桶，行人产生的生活垃圾由环卫部门统一清运；路面清扫产生的清扫</w:t>
      </w:r>
      <w:r>
        <w:rPr>
          <w:spacing w:val="-15"/>
        </w:rPr>
        <w:t>垃圾由环卫部门统一收集清运，运送至城市垃圾处理场集中处置，避免雨水冲刷后进入河道污染水体。</w:t>
      </w:r>
    </w:p>
    <w:p>
      <w:pPr>
        <w:pStyle w:val="Heading3"/>
        <w:spacing w:before="36"/>
      </w:pPr>
      <w:r>
        <w:rPr>
          <w:rFonts w:ascii="Times New Roman" w:eastAsia="Times New Roman"/>
          <w:w w:val="95"/>
        </w:rPr>
        <w:t>5</w:t>
      </w:r>
      <w:r>
        <w:rPr>
          <w:w w:val="95"/>
        </w:rPr>
        <w:t>、社会环境影响分析</w:t>
      </w:r>
    </w:p>
    <w:p>
      <w:pPr>
        <w:pStyle w:val="BodyText"/>
        <w:spacing w:line="357" w:lineRule="auto" w:before="136"/>
        <w:ind w:left="218" w:right="148" w:firstLine="479"/>
      </w:pPr>
      <w:r>
        <w:rPr/>
        <w:t>本项目为道路建设项目，项目的施工期间可能给周边居民出行造成交通不</w:t>
      </w:r>
      <w:r>
        <w:rPr>
          <w:spacing w:val="-6"/>
        </w:rPr>
        <w:t>便，影响群众的正常生产、生活，但在优化路线、严格执行各类环保措施之后， </w:t>
      </w:r>
      <w:r>
        <w:rPr>
          <w:spacing w:val="-5"/>
        </w:rPr>
        <w:t>能够减少施工期间对沿线居民的影响。项目建成后，将加快开江县的开发建设</w:t>
      </w:r>
      <w:r>
        <w:rPr>
          <w:spacing w:val="-4"/>
        </w:rPr>
        <w:t>步伐，拉大城市建设框架，改善开江现有道路交通条件，完善城市道路网，提</w:t>
      </w:r>
      <w:r>
        <w:rPr>
          <w:spacing w:val="-6"/>
        </w:rPr>
        <w:t>高道路通行能力；能够极大地方便人民生产生活，改善居民居住环境美化城市； 将促进区域经济发展，为社会提供更多就业机会，增加社会的稳定因素。</w:t>
      </w:r>
    </w:p>
    <w:p>
      <w:pPr>
        <w:spacing w:line="355" w:lineRule="auto" w:before="36"/>
        <w:ind w:left="700" w:right="3233" w:hanging="3"/>
        <w:jc w:val="left"/>
        <w:rPr>
          <w:b/>
          <w:sz w:val="24"/>
        </w:rPr>
      </w:pPr>
      <w:r>
        <w:rPr>
          <w:sz w:val="24"/>
        </w:rPr>
        <w:t>综上所述，本项目的社会环境影响为正效应。</w:t>
      </w:r>
      <w:r>
        <w:rPr>
          <w:b/>
          <w:w w:val="95"/>
          <w:sz w:val="24"/>
        </w:rPr>
        <w:t>三、环境风险分析</w:t>
      </w:r>
    </w:p>
    <w:p>
      <w:pPr>
        <w:pStyle w:val="BodyText"/>
        <w:spacing w:before="38"/>
        <w:ind w:left="698"/>
      </w:pPr>
      <w:r>
        <w:rPr>
          <w:rFonts w:ascii="Times New Roman" w:eastAsia="Times New Roman"/>
        </w:rPr>
        <w:t>1</w:t>
      </w:r>
      <w:r>
        <w:rPr/>
        <w:t>、风险识别</w:t>
      </w:r>
    </w:p>
    <w:p>
      <w:pPr>
        <w:pStyle w:val="BodyText"/>
        <w:spacing w:line="357" w:lineRule="auto" w:before="133"/>
        <w:ind w:left="218" w:right="268" w:firstLine="479"/>
        <w:jc w:val="both"/>
      </w:pPr>
      <w:r>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刷作用下，油类物质流入雨水管网，甚至直接流入项目附近的新宁河，对其造成污染，以及燃气管网等泄露引起的大气污染等，基础不均匀下沉，管材及其接口施工质量差、井体施工质量差等原因均会造成管道破裂渗漏等现象。将会致使在很短时间内造成一定范围的恶性环境风险事故，不仅带来严重的经济损失，而且将对过往车辆 及人员和周围环境形成危害。</w:t>
      </w:r>
    </w:p>
    <w:p>
      <w:pPr>
        <w:pStyle w:val="BodyText"/>
        <w:spacing w:before="36"/>
        <w:ind w:left="698"/>
      </w:pPr>
      <w:r>
        <w:rPr>
          <w:rFonts w:ascii="Times New Roman" w:eastAsia="Times New Roman"/>
        </w:rPr>
        <w:t>2</w:t>
      </w:r>
      <w:r>
        <w:rPr/>
        <w:t>、风险事故防范措施</w:t>
      </w:r>
    </w:p>
    <w:p>
      <w:pPr>
        <w:spacing w:after="0"/>
        <w:sectPr>
          <w:pgSz w:w="11910" w:h="16850"/>
          <w:pgMar w:header="0" w:footer="1141" w:top="1400" w:bottom="134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10129" w:hRule="exact"/>
        </w:trPr>
        <w:tc>
          <w:tcPr>
            <w:tcW w:w="8531" w:type="dxa"/>
            <w:gridSpan w:val="7"/>
            <w:tcBorders>
              <w:bottom w:val="single" w:sz="6" w:space="0" w:color="000000"/>
            </w:tcBorders>
          </w:tcPr>
          <w:p>
            <w:pPr>
              <w:pStyle w:val="TableParagraph"/>
              <w:spacing w:line="274" w:lineRule="exact"/>
              <w:ind w:left="583"/>
              <w:jc w:val="left"/>
              <w:rPr>
                <w:sz w:val="24"/>
              </w:rPr>
            </w:pPr>
            <w:r>
              <w:rPr>
                <w:sz w:val="24"/>
              </w:rPr>
              <w:t>考虑到本项目施工期已完成，无法从工程措施入手进行处理，只能在今后</w:t>
            </w:r>
          </w:p>
          <w:p>
            <w:pPr>
              <w:pStyle w:val="TableParagraph"/>
              <w:spacing w:before="154"/>
              <w:ind w:left="103"/>
              <w:jc w:val="left"/>
              <w:rPr>
                <w:sz w:val="24"/>
              </w:rPr>
            </w:pPr>
            <w:r>
              <w:rPr>
                <w:sz w:val="24"/>
              </w:rPr>
              <w:t>的 运营期加强管理。</w:t>
            </w:r>
          </w:p>
          <w:p>
            <w:pPr>
              <w:pStyle w:val="TableParagraph"/>
              <w:spacing w:line="357" w:lineRule="auto" w:before="151"/>
              <w:ind w:left="103" w:right="-2" w:firstLine="479"/>
              <w:jc w:val="left"/>
              <w:rPr>
                <w:sz w:val="24"/>
              </w:rPr>
            </w:pPr>
            <w:r>
              <w:rPr>
                <w:sz w:val="24"/>
              </w:rPr>
              <w:t>管理措施：道路管理部门应对从事运输的车辆及人员进行严格管理及检查， 从上路检查、途中运输、停车，直到事故处理等各个环节，要加强管理，预防运 输事故的发生和控制突发事故事态的扩大。</w:t>
            </w:r>
          </w:p>
          <w:p>
            <w:pPr>
              <w:pStyle w:val="TableParagraph"/>
              <w:spacing w:line="357" w:lineRule="auto" w:before="35"/>
              <w:ind w:left="103" w:right="164" w:firstLine="479"/>
              <w:jc w:val="both"/>
              <w:rPr>
                <w:sz w:val="24"/>
              </w:rPr>
            </w:pPr>
            <w:r>
              <w:rPr>
                <w:sz w:val="24"/>
              </w:rPr>
              <w:t>加强对车辆的管理，加强车检工作，保证上路车辆车况良好，严禁车辆超载行驶。项目道路无危化品运输的功能，营运期间设置明显的标志，严禁运载危化品的车辆驶入。营运期间充分发挥交管部门的作用，加大对本项目经过车辆的监管排查，尽量杜绝危化品的车辆驶入。发生事故后司机、押运人应及时报案并说明所有重要的相关事项；在发生油料或其他危险品泄漏紧急情况下， 关闭该路段，启动应急计划，进行泄漏处理。交管部门接受报案后及时向当地政府办公部门报警，并启动应急预案。发生事故后司机、押运人应及时报案并说明所有重要的相关事项；在发生油料、泄漏紧急情况下，应启动应急计划， 进行泄漏处理。</w:t>
            </w:r>
          </w:p>
          <w:p>
            <w:pPr>
              <w:pStyle w:val="TableParagraph"/>
              <w:spacing w:line="357" w:lineRule="auto" w:before="35"/>
              <w:ind w:left="103" w:right="167" w:firstLine="479"/>
              <w:jc w:val="both"/>
              <w:rPr>
                <w:sz w:val="24"/>
              </w:rPr>
            </w:pPr>
            <w:r>
              <w:rPr>
                <w:sz w:val="24"/>
              </w:rPr>
              <w:t>经分析，营运期间可能出现的环境风险主要源于运输油类产品等的车辆发生事故时引起的油类泄漏或燃料泄露，分析表明项目营运期间发生以上环境风险事故的概率极小，在采取相应防范措施的基础上可将风险事故造成的危害降至低， 达到可接受水平。故从环境风险角度分析，本项目实施可行。</w:t>
            </w:r>
          </w:p>
          <w:p>
            <w:pPr>
              <w:pStyle w:val="TableParagraph"/>
              <w:spacing w:before="35"/>
              <w:ind w:left="585"/>
              <w:jc w:val="left"/>
              <w:rPr>
                <w:b/>
                <w:sz w:val="24"/>
              </w:rPr>
            </w:pPr>
            <w:r>
              <w:rPr>
                <w:b/>
                <w:w w:val="95"/>
                <w:sz w:val="24"/>
              </w:rPr>
              <w:t>四、环保投资概算</w:t>
            </w:r>
          </w:p>
          <w:p>
            <w:pPr>
              <w:pStyle w:val="TableParagraph"/>
              <w:spacing w:line="338" w:lineRule="auto" w:before="151"/>
              <w:ind w:left="103" w:right="101" w:firstLine="479"/>
              <w:jc w:val="both"/>
              <w:rPr>
                <w:sz w:val="24"/>
              </w:rPr>
            </w:pPr>
            <w:r>
              <w:rPr>
                <w:spacing w:val="-6"/>
                <w:sz w:val="24"/>
              </w:rPr>
              <w:t>项目环境保护投资总计 </w:t>
            </w:r>
            <w:r>
              <w:rPr>
                <w:rFonts w:ascii="Times New Roman" w:eastAsia="Times New Roman"/>
                <w:sz w:val="24"/>
              </w:rPr>
              <w:t>30 </w:t>
            </w:r>
            <w:r>
              <w:rPr>
                <w:spacing w:val="-16"/>
                <w:sz w:val="24"/>
              </w:rPr>
              <w:t>万元，占总投资 </w:t>
            </w:r>
            <w:r>
              <w:rPr>
                <w:rFonts w:ascii="Times New Roman" w:eastAsia="Times New Roman"/>
                <w:sz w:val="24"/>
              </w:rPr>
              <w:t>307.5283 </w:t>
            </w:r>
            <w:r>
              <w:rPr>
                <w:spacing w:val="-30"/>
                <w:sz w:val="24"/>
              </w:rPr>
              <w:t>的 </w:t>
            </w:r>
            <w:r>
              <w:rPr>
                <w:rFonts w:ascii="Times New Roman" w:eastAsia="Times New Roman"/>
                <w:spacing w:val="-11"/>
                <w:sz w:val="24"/>
              </w:rPr>
              <w:t>7.4%</w:t>
            </w:r>
            <w:r>
              <w:rPr>
                <w:spacing w:val="-3"/>
                <w:sz w:val="24"/>
              </w:rPr>
              <w:t>，项目环保措施</w:t>
            </w:r>
            <w:r>
              <w:rPr>
                <w:spacing w:val="-1"/>
                <w:sz w:val="24"/>
              </w:rPr>
              <w:t>及投资见下表。</w:t>
            </w:r>
          </w:p>
          <w:p>
            <w:pPr>
              <w:pStyle w:val="TableParagraph"/>
              <w:tabs>
                <w:tab w:pos="3605" w:val="left" w:leader="none"/>
              </w:tabs>
              <w:spacing w:before="53"/>
              <w:ind w:left="2743"/>
              <w:jc w:val="left"/>
              <w:rPr>
                <w:b/>
                <w:sz w:val="24"/>
              </w:rPr>
            </w:pPr>
            <w:r>
              <w:rPr>
                <w:b/>
                <w:sz w:val="24"/>
              </w:rPr>
              <w:t>表</w:t>
            </w:r>
            <w:r>
              <w:rPr>
                <w:b/>
                <w:spacing w:val="-60"/>
                <w:sz w:val="24"/>
              </w:rPr>
              <w:t> </w:t>
            </w:r>
            <w:r>
              <w:rPr>
                <w:rFonts w:ascii="Times New Roman" w:eastAsia="Times New Roman"/>
                <w:b/>
                <w:sz w:val="24"/>
              </w:rPr>
              <w:t>7-9</w:t>
              <w:tab/>
            </w:r>
            <w:r>
              <w:rPr>
                <w:b/>
                <w:w w:val="95"/>
                <w:sz w:val="24"/>
              </w:rPr>
              <w:t>环保投资估算一览表</w:t>
            </w:r>
          </w:p>
        </w:tc>
      </w:tr>
      <w:tr>
        <w:trPr>
          <w:trHeight w:val="255"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4"/>
              <w:rPr>
                <w:sz w:val="21"/>
              </w:rPr>
            </w:pPr>
            <w:r>
              <w:rPr>
                <w:sz w:val="21"/>
              </w:rPr>
              <w:t>类别</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3" w:right="3"/>
              <w:rPr>
                <w:sz w:val="21"/>
              </w:rPr>
            </w:pPr>
            <w:r>
              <w:rPr>
                <w:sz w:val="21"/>
              </w:rPr>
              <w:t>措施内容</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360" w:right="360"/>
              <w:rPr>
                <w:sz w:val="21"/>
              </w:rPr>
            </w:pPr>
            <w:r>
              <w:rPr>
                <w:sz w:val="21"/>
              </w:rPr>
              <w:t>备注</w:t>
            </w:r>
          </w:p>
        </w:tc>
        <w:tc>
          <w:tcPr>
            <w:tcW w:w="137" w:type="dxa"/>
            <w:tcBorders>
              <w:top w:val="nil"/>
              <w:left w:val="single" w:sz="6" w:space="0" w:color="000000"/>
              <w:bottom w:val="nil"/>
            </w:tcBorders>
          </w:tcPr>
          <w:p>
            <w:pPr/>
          </w:p>
        </w:tc>
      </w:tr>
      <w:tr>
        <w:trPr>
          <w:trHeight w:val="257"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spacing w:line="240" w:lineRule="exact" w:before="139"/>
              <w:ind w:left="103" w:right="98"/>
              <w:jc w:val="both"/>
              <w:rPr>
                <w:sz w:val="21"/>
              </w:rPr>
            </w:pPr>
            <w:r>
              <w:rPr>
                <w:sz w:val="21"/>
              </w:rPr>
              <w:t>大气保护措施</w:t>
            </w:r>
          </w:p>
        </w:tc>
        <w:tc>
          <w:tcPr>
            <w:tcW w:w="890" w:type="dxa"/>
            <w:vMerge w:val="restart"/>
            <w:tcBorders>
              <w:top w:val="single" w:sz="6" w:space="0" w:color="000000"/>
              <w:left w:val="single" w:sz="6" w:space="0" w:color="000000"/>
              <w:right w:val="single" w:sz="6" w:space="0" w:color="000000"/>
            </w:tcBorders>
          </w:tcPr>
          <w:p>
            <w:pPr>
              <w:pStyle w:val="TableParagraph"/>
              <w:spacing w:before="10"/>
              <w:jc w:val="left"/>
              <w:rPr>
                <w:sz w:val="25"/>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ind w:left="3" w:right="3"/>
              <w:rPr>
                <w:sz w:val="21"/>
              </w:rPr>
            </w:pPr>
            <w:r>
              <w:rPr>
                <w:sz w:val="21"/>
              </w:rPr>
              <w:t>施工运输材料车辆加篷布覆盖</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90" w:right="192"/>
              <w:rPr>
                <w:rFonts w:ascii="Times New Roman"/>
                <w:sz w:val="21"/>
              </w:rPr>
            </w:pPr>
            <w:r>
              <w:rPr>
                <w:rFonts w:ascii="Times New Roman"/>
                <w:sz w:val="21"/>
              </w:rPr>
              <w:t>0.2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ind w:left="360" w:right="360"/>
              <w:rPr>
                <w:sz w:val="21"/>
              </w:rPr>
            </w:pPr>
            <w:r>
              <w:rPr>
                <w:sz w:val="21"/>
              </w:rPr>
              <w:t>已建</w:t>
            </w:r>
          </w:p>
        </w:tc>
        <w:tc>
          <w:tcPr>
            <w:tcW w:w="137" w:type="dxa"/>
            <w:tcBorders>
              <w:top w:val="nil"/>
              <w:left w:val="single" w:sz="6" w:space="0" w:color="000000"/>
              <w:bottom w:val="nil"/>
            </w:tcBorders>
          </w:tcPr>
          <w:p>
            <w:pPr/>
          </w:p>
        </w:tc>
      </w:tr>
      <w:tr>
        <w:trPr>
          <w:trHeight w:val="286"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6" w:lineRule="exact"/>
              <w:ind w:left="3" w:right="3"/>
              <w:rPr>
                <w:sz w:val="21"/>
              </w:rPr>
            </w:pPr>
            <w:r>
              <w:rPr>
                <w:sz w:val="21"/>
              </w:rPr>
              <w:t>定期洒水抑尘</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
              <w:ind w:left="190" w:right="192"/>
              <w:rPr>
                <w:rFonts w:ascii="Times New Roman"/>
                <w:sz w:val="21"/>
              </w:rPr>
            </w:pPr>
            <w:r>
              <w:rPr>
                <w:rFonts w:ascii="Times New Roman"/>
                <w:sz w:val="21"/>
              </w:rPr>
              <w:t>0.3</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360" w:right="36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207" w:right="57" w:hanging="1107"/>
              <w:jc w:val="left"/>
              <w:rPr>
                <w:sz w:val="21"/>
              </w:rPr>
            </w:pPr>
            <w:r>
              <w:rPr>
                <w:spacing w:val="-22"/>
                <w:sz w:val="21"/>
              </w:rPr>
              <w:t>建 </w:t>
            </w:r>
            <w:r>
              <w:rPr>
                <w:rFonts w:ascii="Times New Roman" w:eastAsia="Times New Roman"/>
                <w:sz w:val="21"/>
              </w:rPr>
              <w:t>1 </w:t>
            </w:r>
            <w:r>
              <w:rPr>
                <w:spacing w:val="-12"/>
                <w:sz w:val="21"/>
              </w:rPr>
              <w:t>个施工场地，作为材料仓库和堆场、机</w:t>
            </w:r>
            <w:r>
              <w:rPr>
                <w:spacing w:val="-6"/>
                <w:sz w:val="21"/>
              </w:rPr>
              <w:t>械设备临时堆放场</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360" w:right="360"/>
              <w:rPr>
                <w:sz w:val="21"/>
              </w:rPr>
            </w:pPr>
            <w:r>
              <w:rPr>
                <w:sz w:val="21"/>
              </w:rPr>
              <w:t>已建</w:t>
            </w:r>
          </w:p>
        </w:tc>
        <w:tc>
          <w:tcPr>
            <w:tcW w:w="137" w:type="dxa"/>
            <w:tcBorders>
              <w:top w:val="nil"/>
              <w:left w:val="single" w:sz="6" w:space="0" w:color="000000"/>
              <w:bottom w:val="nil"/>
            </w:tcBorders>
          </w:tcPr>
          <w:p>
            <w:pPr/>
          </w:p>
        </w:tc>
      </w:tr>
      <w:tr>
        <w:trPr>
          <w:trHeight w:val="49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9"/>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before="2"/>
              <w:ind w:left="1836" w:right="57" w:hanging="1736"/>
              <w:jc w:val="left"/>
              <w:rPr>
                <w:sz w:val="21"/>
              </w:rPr>
            </w:pPr>
            <w:r>
              <w:rPr>
                <w:spacing w:val="-11"/>
                <w:sz w:val="21"/>
              </w:rPr>
              <w:t>加强管理，使用洒水车定期洒水、及时清扫路面</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8"/>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before="5"/>
              <w:jc w:val="left"/>
              <w:rPr>
                <w:sz w:val="19"/>
              </w:rPr>
            </w:pPr>
          </w:p>
          <w:p>
            <w:pPr>
              <w:pStyle w:val="TableParagraph"/>
              <w:spacing w:line="240" w:lineRule="exact"/>
              <w:ind w:left="103" w:right="98"/>
              <w:jc w:val="both"/>
              <w:rPr>
                <w:sz w:val="21"/>
              </w:rPr>
            </w:pPr>
            <w:r>
              <w:rPr>
                <w:sz w:val="21"/>
              </w:rPr>
              <w:t>水环境保护措施</w:t>
            </w:r>
          </w:p>
        </w:tc>
        <w:tc>
          <w:tcPr>
            <w:tcW w:w="890" w:type="dxa"/>
            <w:vMerge w:val="restart"/>
            <w:tcBorders>
              <w:top w:val="single" w:sz="6" w:space="0" w:color="000000"/>
              <w:left w:val="single" w:sz="6" w:space="0" w:color="000000"/>
              <w:right w:val="single" w:sz="6" w:space="0" w:color="000000"/>
            </w:tcBorders>
          </w:tcPr>
          <w:p>
            <w:pPr>
              <w:pStyle w:val="TableParagraph"/>
              <w:spacing w:before="12"/>
              <w:jc w:val="left"/>
              <w:rPr>
                <w:sz w:val="23"/>
              </w:rPr>
            </w:pPr>
          </w:p>
          <w:p>
            <w:pPr>
              <w:pStyle w:val="TableParagraph"/>
              <w:spacing w:before="1"/>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12" w:lineRule="exact"/>
              <w:ind w:left="3" w:right="3"/>
              <w:rPr>
                <w:sz w:val="21"/>
              </w:rPr>
            </w:pPr>
            <w:r>
              <w:rPr>
                <w:sz w:val="21"/>
              </w:rPr>
              <w:t>在施工出入口处设置 </w:t>
            </w:r>
            <w:r>
              <w:rPr>
                <w:rFonts w:ascii="Times New Roman" w:hAnsi="Times New Roman" w:eastAsia="Times New Roman"/>
                <w:sz w:val="21"/>
              </w:rPr>
              <w:t>1 </w:t>
            </w:r>
            <w:r>
              <w:rPr>
                <w:sz w:val="21"/>
              </w:rPr>
              <w:t>个临时隔油池（</w:t>
            </w:r>
            <w:r>
              <w:rPr>
                <w:rFonts w:ascii="Times New Roman" w:hAnsi="Times New Roman" w:eastAsia="Times New Roman"/>
                <w:sz w:val="21"/>
              </w:rPr>
              <w:t>3</w:t>
            </w:r>
            <w:r>
              <w:rPr>
                <w:sz w:val="21"/>
              </w:rPr>
              <w:t>×</w:t>
            </w:r>
          </w:p>
          <w:p>
            <w:pPr>
              <w:pStyle w:val="TableParagraph"/>
              <w:spacing w:line="265" w:lineRule="exact"/>
              <w:ind w:left="2" w:right="3"/>
              <w:rPr>
                <w:sz w:val="21"/>
              </w:rPr>
            </w:pP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spacing w:val="-1"/>
                <w:w w:val="100"/>
                <w:sz w:val="21"/>
              </w:rPr>
              <w:t>（</w:t>
            </w:r>
            <w:r>
              <w:rPr>
                <w:rFonts w:ascii="Times New Roman" w:hAnsi="Times New Roman" w:eastAsia="Times New Roman"/>
                <w:spacing w:val="-3"/>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360" w:right="36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416" w:right="57" w:hanging="1316"/>
              <w:jc w:val="left"/>
              <w:rPr>
                <w:sz w:val="21"/>
              </w:rPr>
            </w:pPr>
            <w:r>
              <w:rPr>
                <w:spacing w:val="-12"/>
                <w:sz w:val="21"/>
              </w:rPr>
              <w:t>施工期租赁附近民房，施工期生活污水利用</w:t>
            </w:r>
            <w:r>
              <w:rPr>
                <w:spacing w:val="-6"/>
                <w:sz w:val="21"/>
              </w:rPr>
              <w:t>周边已有设施</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5"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4"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6"/>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942" w:right="57" w:hanging="1842"/>
              <w:jc w:val="left"/>
              <w:rPr>
                <w:sz w:val="21"/>
              </w:rPr>
            </w:pPr>
            <w:r>
              <w:rPr>
                <w:spacing w:val="-12"/>
                <w:sz w:val="21"/>
              </w:rPr>
              <w:t>路面雨水收集系统，桥面设地表径流截排水沟</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4</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5"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509" w:hRule="exact"/>
        </w:trPr>
        <w:tc>
          <w:tcPr>
            <w:tcW w:w="137" w:type="dxa"/>
            <w:tcBorders>
              <w:top w:val="nil"/>
              <w:right w:val="single" w:sz="6" w:space="0" w:color="000000"/>
            </w:tcBorders>
          </w:tcPr>
          <w:p>
            <w:pPr/>
          </w:p>
        </w:tc>
        <w:tc>
          <w:tcPr>
            <w:tcW w:w="641" w:type="dxa"/>
            <w:tcBorders>
              <w:top w:val="single" w:sz="6" w:space="0" w:color="000000"/>
              <w:left w:val="single" w:sz="6" w:space="0" w:color="000000"/>
              <w:bottom w:val="single" w:sz="10" w:space="0" w:color="000000"/>
              <w:right w:val="single" w:sz="6" w:space="0" w:color="000000"/>
            </w:tcBorders>
          </w:tcPr>
          <w:p>
            <w:pPr>
              <w:pStyle w:val="TableParagraph"/>
              <w:spacing w:line="240" w:lineRule="exact" w:before="2"/>
              <w:ind w:left="103" w:right="83"/>
              <w:jc w:val="left"/>
              <w:rPr>
                <w:sz w:val="21"/>
              </w:rPr>
            </w:pPr>
            <w:r>
              <w:rPr>
                <w:sz w:val="21"/>
              </w:rPr>
              <w:t>噪声防治</w:t>
            </w:r>
          </w:p>
        </w:tc>
        <w:tc>
          <w:tcPr>
            <w:tcW w:w="890" w:type="dxa"/>
            <w:tcBorders>
              <w:top w:val="single" w:sz="6" w:space="0" w:color="000000"/>
              <w:left w:val="single" w:sz="6" w:space="0" w:color="000000"/>
              <w:bottom w:val="single" w:sz="10" w:space="0" w:color="000000"/>
              <w:right w:val="single" w:sz="6" w:space="0" w:color="000000"/>
            </w:tcBorders>
          </w:tcPr>
          <w:p>
            <w:pPr>
              <w:pStyle w:val="TableParagraph"/>
              <w:spacing w:before="69"/>
              <w:ind w:left="122"/>
              <w:jc w:val="left"/>
              <w:rPr>
                <w:sz w:val="21"/>
              </w:rPr>
            </w:pPr>
            <w:r>
              <w:rPr>
                <w:sz w:val="21"/>
              </w:rPr>
              <w:t>施工期</w:t>
            </w:r>
          </w:p>
        </w:tc>
        <w:tc>
          <w:tcPr>
            <w:tcW w:w="4112" w:type="dxa"/>
            <w:tcBorders>
              <w:top w:val="single" w:sz="6" w:space="0" w:color="000000"/>
              <w:left w:val="single" w:sz="6" w:space="0" w:color="000000"/>
              <w:bottom w:val="single" w:sz="10" w:space="0" w:color="000000"/>
              <w:right w:val="single" w:sz="6" w:space="0" w:color="000000"/>
            </w:tcBorders>
          </w:tcPr>
          <w:p>
            <w:pPr>
              <w:pStyle w:val="TableParagraph"/>
              <w:spacing w:line="240" w:lineRule="exact" w:before="2"/>
              <w:ind w:left="576" w:right="-13" w:hanging="476"/>
              <w:jc w:val="left"/>
              <w:rPr>
                <w:sz w:val="21"/>
              </w:rPr>
            </w:pPr>
            <w:r>
              <w:rPr>
                <w:sz w:val="21"/>
              </w:rPr>
              <w:t>选用低噪声设备，合理进行施工平面布置， 合理安排施工时间，修建围挡等</w:t>
            </w:r>
          </w:p>
        </w:tc>
        <w:tc>
          <w:tcPr>
            <w:tcW w:w="1419" w:type="dxa"/>
            <w:tcBorders>
              <w:top w:val="single" w:sz="6" w:space="0" w:color="000000"/>
              <w:left w:val="single" w:sz="6" w:space="0" w:color="000000"/>
              <w:bottom w:val="single" w:sz="10" w:space="0" w:color="000000"/>
              <w:right w:val="single" w:sz="6" w:space="0" w:color="000000"/>
            </w:tcBorders>
          </w:tcPr>
          <w:p>
            <w:pPr>
              <w:pStyle w:val="TableParagraph"/>
              <w:spacing w:before="119"/>
              <w:ind w:left="190" w:right="192"/>
              <w:rPr>
                <w:rFonts w:ascii="Times New Roman"/>
                <w:sz w:val="21"/>
              </w:rPr>
            </w:pPr>
            <w:r>
              <w:rPr>
                <w:rFonts w:ascii="Times New Roman"/>
                <w:sz w:val="21"/>
              </w:rPr>
              <w:t>0.3</w:t>
            </w:r>
          </w:p>
        </w:tc>
        <w:tc>
          <w:tcPr>
            <w:tcW w:w="1195" w:type="dxa"/>
            <w:tcBorders>
              <w:top w:val="single" w:sz="6" w:space="0" w:color="000000"/>
              <w:left w:val="single" w:sz="6" w:space="0" w:color="000000"/>
              <w:bottom w:val="single" w:sz="10" w:space="0" w:color="000000"/>
              <w:right w:val="single" w:sz="6" w:space="0" w:color="000000"/>
            </w:tcBorders>
          </w:tcPr>
          <w:p>
            <w:pPr>
              <w:pStyle w:val="TableParagraph"/>
              <w:spacing w:line="237" w:lineRule="exact"/>
              <w:ind w:right="1"/>
              <w:rPr>
                <w:rFonts w:ascii="Times New Roman"/>
                <w:sz w:val="21"/>
              </w:rPr>
            </w:pPr>
            <w:r>
              <w:rPr>
                <w:rFonts w:ascii="Times New Roman"/>
                <w:w w:val="100"/>
                <w:sz w:val="21"/>
              </w:rPr>
              <w:t>/</w:t>
            </w:r>
          </w:p>
        </w:tc>
        <w:tc>
          <w:tcPr>
            <w:tcW w:w="137"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269" w:hRule="exact"/>
        </w:trPr>
        <w:tc>
          <w:tcPr>
            <w:tcW w:w="137" w:type="dxa"/>
            <w:tcBorders>
              <w:bottom w:val="nil"/>
              <w:right w:val="single" w:sz="6" w:space="0" w:color="000000"/>
            </w:tcBorders>
          </w:tcPr>
          <w:p>
            <w:pPr/>
          </w:p>
        </w:tc>
        <w:tc>
          <w:tcPr>
            <w:tcW w:w="641" w:type="dxa"/>
            <w:tcBorders>
              <w:top w:val="single" w:sz="10" w:space="0" w:color="000000"/>
              <w:left w:val="single" w:sz="6" w:space="0" w:color="000000"/>
              <w:bottom w:val="single" w:sz="6" w:space="0" w:color="000000"/>
              <w:right w:val="single" w:sz="6" w:space="0" w:color="000000"/>
            </w:tcBorders>
          </w:tcPr>
          <w:p>
            <w:pPr>
              <w:pStyle w:val="TableParagraph"/>
              <w:spacing w:line="221" w:lineRule="exact"/>
              <w:ind w:left="103"/>
              <w:jc w:val="left"/>
              <w:rPr>
                <w:sz w:val="21"/>
              </w:rPr>
            </w:pPr>
            <w:r>
              <w:rPr>
                <w:sz w:val="21"/>
              </w:rPr>
              <w:t>措施</w:t>
            </w:r>
          </w:p>
        </w:tc>
        <w:tc>
          <w:tcPr>
            <w:tcW w:w="890" w:type="dxa"/>
            <w:tcBorders>
              <w:top w:val="single" w:sz="10" w:space="0" w:color="000000"/>
              <w:left w:val="single" w:sz="6" w:space="0" w:color="000000"/>
              <w:bottom w:val="single" w:sz="6" w:space="0" w:color="000000"/>
              <w:right w:val="single" w:sz="6" w:space="0" w:color="000000"/>
            </w:tcBorders>
          </w:tcPr>
          <w:p>
            <w:pPr>
              <w:pStyle w:val="TableParagraph"/>
              <w:spacing w:line="223" w:lineRule="exact"/>
              <w:ind w:left="122"/>
              <w:jc w:val="left"/>
              <w:rPr>
                <w:sz w:val="21"/>
              </w:rPr>
            </w:pPr>
            <w:r>
              <w:rPr>
                <w:sz w:val="21"/>
              </w:rPr>
              <w:t>营运期</w:t>
            </w:r>
          </w:p>
        </w:tc>
        <w:tc>
          <w:tcPr>
            <w:tcW w:w="4112" w:type="dxa"/>
            <w:tcBorders>
              <w:top w:val="single" w:sz="10" w:space="0" w:color="000000"/>
              <w:left w:val="single" w:sz="6" w:space="0" w:color="000000"/>
              <w:bottom w:val="single" w:sz="6" w:space="0" w:color="000000"/>
              <w:right w:val="single" w:sz="6" w:space="0" w:color="000000"/>
            </w:tcBorders>
          </w:tcPr>
          <w:p>
            <w:pPr>
              <w:pStyle w:val="TableParagraph"/>
              <w:spacing w:line="223" w:lineRule="exact"/>
              <w:ind w:left="3" w:right="3"/>
              <w:rPr>
                <w:sz w:val="21"/>
              </w:rPr>
            </w:pPr>
            <w:r>
              <w:rPr>
                <w:sz w:val="21"/>
              </w:rPr>
              <w:t>设置减速、禁鸣喇叭标志；加强交通管理</w:t>
            </w:r>
          </w:p>
        </w:tc>
        <w:tc>
          <w:tcPr>
            <w:tcW w:w="1419" w:type="dxa"/>
            <w:tcBorders>
              <w:top w:val="single" w:sz="10" w:space="0" w:color="000000"/>
              <w:left w:val="single" w:sz="6" w:space="0" w:color="000000"/>
              <w:bottom w:val="single" w:sz="6" w:space="0" w:color="000000"/>
              <w:right w:val="single" w:sz="6" w:space="0" w:color="000000"/>
            </w:tcBorders>
          </w:tcPr>
          <w:p>
            <w:pPr>
              <w:pStyle w:val="TableParagraph"/>
              <w:spacing w:line="239" w:lineRule="exact"/>
              <w:ind w:left="190" w:right="192"/>
              <w:rPr>
                <w:rFonts w:ascii="Times New Roman"/>
                <w:sz w:val="21"/>
              </w:rPr>
            </w:pPr>
            <w:r>
              <w:rPr>
                <w:rFonts w:ascii="Times New Roman"/>
                <w:sz w:val="21"/>
              </w:rPr>
              <w:t>0.2</w:t>
            </w:r>
          </w:p>
        </w:tc>
        <w:tc>
          <w:tcPr>
            <w:tcW w:w="1195" w:type="dxa"/>
            <w:tcBorders>
              <w:top w:val="single" w:sz="10" w:space="0" w:color="000000"/>
              <w:left w:val="single" w:sz="6" w:space="0" w:color="000000"/>
              <w:bottom w:val="single" w:sz="6" w:space="0" w:color="000000"/>
              <w:right w:val="single" w:sz="6" w:space="0" w:color="000000"/>
            </w:tcBorders>
          </w:tcPr>
          <w:p>
            <w:pPr>
              <w:pStyle w:val="TableParagraph"/>
              <w:spacing w:line="234" w:lineRule="exact"/>
              <w:ind w:right="1"/>
              <w:rPr>
                <w:rFonts w:ascii="Times New Roman"/>
                <w:sz w:val="21"/>
              </w:rPr>
            </w:pPr>
            <w:r>
              <w:rPr>
                <w:rFonts w:ascii="Times New Roman"/>
                <w:w w:val="100"/>
                <w:sz w:val="21"/>
              </w:rPr>
              <w:t>/</w:t>
            </w:r>
          </w:p>
        </w:tc>
        <w:tc>
          <w:tcPr>
            <w:tcW w:w="137" w:type="dxa"/>
            <w:tcBorders>
              <w:left w:val="single" w:sz="6" w:space="0" w:color="000000"/>
              <w:bottom w:val="nil"/>
            </w:tcBorders>
          </w:tcPr>
          <w:p>
            <w:pPr/>
          </w:p>
        </w:tc>
      </w:tr>
      <w:tr>
        <w:trPr>
          <w:trHeight w:val="49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19"/>
              </w:rPr>
            </w:pPr>
          </w:p>
          <w:p>
            <w:pPr>
              <w:pStyle w:val="TableParagraph"/>
              <w:spacing w:line="240" w:lineRule="exact"/>
              <w:ind w:left="103" w:right="98"/>
              <w:jc w:val="both"/>
              <w:rPr>
                <w:sz w:val="21"/>
              </w:rPr>
            </w:pPr>
            <w:r>
              <w:rPr>
                <w:sz w:val="21"/>
              </w:rPr>
              <w:t>固废处理措施</w:t>
            </w:r>
          </w:p>
        </w:tc>
        <w:tc>
          <w:tcPr>
            <w:tcW w:w="890" w:type="dxa"/>
            <w:vMerge w:val="restart"/>
            <w:tcBorders>
              <w:top w:val="single" w:sz="6" w:space="0" w:color="000000"/>
              <w:left w:val="single" w:sz="6" w:space="0" w:color="000000"/>
              <w:right w:val="single" w:sz="6" w:space="0" w:color="000000"/>
            </w:tcBorders>
          </w:tcPr>
          <w:p>
            <w:pPr>
              <w:pStyle w:val="TableParagraph"/>
              <w:spacing w:before="6"/>
              <w:jc w:val="left"/>
              <w:rPr>
                <w:sz w:val="15"/>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04" w:lineRule="exact"/>
              <w:ind w:left="101" w:right="3"/>
              <w:rPr>
                <w:sz w:val="21"/>
              </w:rPr>
            </w:pPr>
            <w:r>
              <w:rPr>
                <w:spacing w:val="-14"/>
                <w:sz w:val="21"/>
              </w:rPr>
              <w:t>设置 </w:t>
            </w:r>
            <w:r>
              <w:rPr>
                <w:rFonts w:ascii="Times New Roman" w:eastAsia="Times New Roman"/>
                <w:sz w:val="21"/>
              </w:rPr>
              <w:t>1 </w:t>
            </w:r>
            <w:r>
              <w:rPr>
                <w:spacing w:val="-3"/>
                <w:sz w:val="21"/>
              </w:rPr>
              <w:t>个临时渣场，用于弃土的临时堆放，</w:t>
            </w:r>
          </w:p>
          <w:p>
            <w:pPr>
              <w:pStyle w:val="TableParagraph"/>
              <w:spacing w:line="249" w:lineRule="exact"/>
              <w:ind w:left="2" w:right="3"/>
              <w:rPr>
                <w:sz w:val="21"/>
              </w:rPr>
            </w:pPr>
            <w:r>
              <w:rPr>
                <w:sz w:val="21"/>
              </w:rPr>
              <w:t>施工期弃土及时清运处理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3</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360" w:right="360"/>
              <w:rPr>
                <w:sz w:val="21"/>
              </w:rPr>
            </w:pPr>
            <w:r>
              <w:rPr>
                <w:sz w:val="21"/>
              </w:rPr>
              <w:t>已建</w:t>
            </w:r>
          </w:p>
        </w:tc>
        <w:tc>
          <w:tcPr>
            <w:tcW w:w="137" w:type="dxa"/>
            <w:tcBorders>
              <w:top w:val="nil"/>
              <w:left w:val="single" w:sz="6" w:space="0" w:color="000000"/>
              <w:bottom w:val="nil"/>
            </w:tcBorders>
          </w:tcPr>
          <w:p>
            <w:pPr/>
          </w:p>
        </w:tc>
      </w:tr>
      <w:tr>
        <w:trPr>
          <w:trHeight w:val="288"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ind w:left="3" w:right="3"/>
              <w:rPr>
                <w:sz w:val="21"/>
              </w:rPr>
            </w:pPr>
            <w:r>
              <w:rPr>
                <w:sz w:val="21"/>
              </w:rPr>
              <w:t>生活垃圾袋装收集后由环卫部门统一清运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4"/>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5" w:lineRule="exact"/>
              <w:ind w:left="360" w:right="36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val="restart"/>
            <w:tcBorders>
              <w:top w:val="single" w:sz="6" w:space="0" w:color="000000"/>
              <w:left w:val="single" w:sz="6" w:space="0" w:color="000000"/>
              <w:right w:val="single" w:sz="6" w:space="0" w:color="000000"/>
            </w:tcBorders>
          </w:tcPr>
          <w:p>
            <w:pPr>
              <w:pStyle w:val="TableParagraph"/>
              <w:spacing w:before="4"/>
              <w:jc w:val="left"/>
              <w:rPr>
                <w:sz w:val="23"/>
              </w:rPr>
            </w:pPr>
          </w:p>
          <w:p>
            <w:pPr>
              <w:pStyle w:val="TableParagraph"/>
              <w:spacing w:before="1"/>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5" w:right="3"/>
              <w:rPr>
                <w:sz w:val="21"/>
              </w:rPr>
            </w:pPr>
            <w:r>
              <w:rPr>
                <w:sz w:val="21"/>
              </w:rPr>
              <w:t>垃圾桶若干，行人产生的生活废弃物由环卫</w:t>
            </w:r>
          </w:p>
          <w:p>
            <w:pPr>
              <w:pStyle w:val="TableParagraph"/>
              <w:spacing w:line="257" w:lineRule="exact"/>
              <w:ind w:left="3" w:right="3"/>
              <w:rPr>
                <w:sz w:val="21"/>
              </w:rPr>
            </w:pPr>
            <w:r>
              <w:rPr>
                <w:sz w:val="21"/>
              </w:rPr>
              <w:t>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4" w:right="3"/>
              <w:rPr>
                <w:sz w:val="21"/>
              </w:rPr>
            </w:pPr>
            <w:r>
              <w:rPr>
                <w:sz w:val="21"/>
              </w:rPr>
              <w:t>路面定期清扫，清扫垃圾由环卫部门统一清</w:t>
            </w:r>
          </w:p>
          <w:p>
            <w:pPr>
              <w:pStyle w:val="TableParagraph"/>
              <w:spacing w:line="257" w:lineRule="exact"/>
              <w:rPr>
                <w:sz w:val="21"/>
              </w:rPr>
            </w:pPr>
            <w:r>
              <w:rPr>
                <w:w w:val="100"/>
                <w:sz w:val="21"/>
              </w:rPr>
              <w:t>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4"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5"/>
              <w:rPr>
                <w:sz w:val="21"/>
              </w:rPr>
            </w:pPr>
            <w:r>
              <w:rPr>
                <w:sz w:val="21"/>
              </w:rPr>
              <w:t>生态及水土保持</w:t>
            </w:r>
          </w:p>
          <w:p>
            <w:pPr>
              <w:pStyle w:val="TableParagraph"/>
              <w:spacing w:line="257" w:lineRule="exact"/>
              <w:ind w:left="4"/>
              <w:rPr>
                <w:sz w:val="21"/>
              </w:rPr>
            </w:pPr>
            <w:r>
              <w:rPr>
                <w:sz w:val="21"/>
              </w:rPr>
              <w:t>措施</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3" w:right="3"/>
              <w:rPr>
                <w:sz w:val="21"/>
              </w:rPr>
            </w:pPr>
            <w:r>
              <w:rPr>
                <w:sz w:val="21"/>
              </w:rPr>
              <w:t>施工期结束后对施工期临时占地进行迹地</w:t>
            </w:r>
          </w:p>
          <w:p>
            <w:pPr>
              <w:pStyle w:val="TableParagraph"/>
              <w:spacing w:line="257" w:lineRule="exact"/>
              <w:ind w:left="3" w:right="3"/>
              <w:rPr>
                <w:sz w:val="21"/>
              </w:rPr>
            </w:pPr>
            <w:r>
              <w:rPr>
                <w:sz w:val="21"/>
              </w:rPr>
              <w:t>恢复</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8</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before="108"/>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254"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6" w:right="1951"/>
              <w:rPr>
                <w:sz w:val="21"/>
              </w:rPr>
            </w:pPr>
            <w:r>
              <w:rPr>
                <w:sz w:val="21"/>
              </w:rPr>
              <w:t>定期进行环境监测</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257"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3" w:right="1951"/>
              <w:rPr>
                <w:sz w:val="21"/>
              </w:rPr>
            </w:pPr>
            <w:r>
              <w:rPr>
                <w:sz w:val="21"/>
              </w:rPr>
              <w:t>合计</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left="190" w:right="192"/>
              <w:rPr>
                <w:rFonts w:ascii="Times New Roman"/>
                <w:sz w:val="21"/>
              </w:rPr>
            </w:pPr>
            <w:r>
              <w:rPr>
                <w:rFonts w:ascii="Times New Roman"/>
                <w:sz w:val="21"/>
              </w:rPr>
              <w:t>30</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10776" w:hRule="exact"/>
        </w:trPr>
        <w:tc>
          <w:tcPr>
            <w:tcW w:w="8531" w:type="dxa"/>
            <w:gridSpan w:val="7"/>
            <w:tcBorders>
              <w:top w:val="single" w:sz="6" w:space="0" w:color="000000"/>
            </w:tcBorders>
          </w:tcPr>
          <w:p>
            <w:pPr/>
          </w:p>
        </w:tc>
      </w:tr>
    </w:tbl>
    <w:p>
      <w:pPr>
        <w:spacing w:after="0"/>
        <w:sectPr>
          <w:pgSz w:w="11910" w:h="16850"/>
          <w:pgMar w:header="0" w:footer="1141" w:top="1440" w:bottom="1340" w:left="1580" w:right="1560"/>
        </w:sectPr>
      </w:pPr>
    </w:p>
    <w:p>
      <w:pPr>
        <w:pStyle w:val="Heading1"/>
        <w:tabs>
          <w:tab w:pos="7297" w:val="left" w:leader="none"/>
        </w:tabs>
      </w:pPr>
      <w:r>
        <w:rPr/>
        <w:pict>
          <v:line style="position:absolute;mso-position-horizontal-relative:page;mso-position-vertical-relative:paragraph;z-index:-197104" from="84.744003pt,31.620001pt" to="118.940003pt,59.940001pt" stroked="true" strokeweight=".48pt" strokecolor="#000000">
            <v:stroke dashstyle="solid"/>
            <w10:wrap type="none"/>
          </v:line>
        </w:pict>
      </w:r>
      <w:r>
        <w:rPr/>
        <w:t>建设项目采取的防治措施及预期治理效果</w:t>
        <w:tab/>
      </w:r>
      <w:r>
        <w:rPr>
          <w:w w:val="95"/>
        </w:rPr>
        <w:t>（表八）</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4"/>
        <w:gridCol w:w="1133"/>
        <w:gridCol w:w="3800"/>
        <w:gridCol w:w="2091"/>
      </w:tblGrid>
      <w:tr>
        <w:trPr>
          <w:trHeight w:val="576" w:hRule="exact"/>
        </w:trPr>
        <w:tc>
          <w:tcPr>
            <w:tcW w:w="694" w:type="dxa"/>
          </w:tcPr>
          <w:p>
            <w:pPr>
              <w:pStyle w:val="TableParagraph"/>
              <w:spacing w:line="272" w:lineRule="exact" w:before="5"/>
              <w:ind w:left="129" w:right="113"/>
              <w:jc w:val="left"/>
              <w:rPr>
                <w:b/>
                <w:sz w:val="21"/>
              </w:rPr>
            </w:pPr>
            <w:r>
              <w:rPr>
                <w:b/>
                <w:sz w:val="21"/>
              </w:rPr>
              <w:t>内容类型</w:t>
            </w:r>
          </w:p>
        </w:tc>
        <w:tc>
          <w:tcPr>
            <w:tcW w:w="814" w:type="dxa"/>
          </w:tcPr>
          <w:p>
            <w:pPr>
              <w:pStyle w:val="TableParagraph"/>
              <w:spacing w:line="272" w:lineRule="exact" w:before="5"/>
              <w:ind w:left="295" w:right="173" w:hanging="106"/>
              <w:jc w:val="left"/>
              <w:rPr>
                <w:b/>
                <w:sz w:val="21"/>
              </w:rPr>
            </w:pPr>
            <w:r>
              <w:rPr>
                <w:b/>
                <w:sz w:val="21"/>
              </w:rPr>
              <w:t>排放源</w:t>
            </w:r>
          </w:p>
        </w:tc>
        <w:tc>
          <w:tcPr>
            <w:tcW w:w="1133" w:type="dxa"/>
          </w:tcPr>
          <w:p>
            <w:pPr>
              <w:pStyle w:val="TableParagraph"/>
              <w:spacing w:line="272" w:lineRule="exact" w:before="5"/>
              <w:ind w:left="347" w:right="230" w:hanging="106"/>
              <w:jc w:val="left"/>
              <w:rPr>
                <w:b/>
                <w:sz w:val="21"/>
              </w:rPr>
            </w:pPr>
            <w:r>
              <w:rPr>
                <w:b/>
                <w:sz w:val="21"/>
              </w:rPr>
              <w:t>污染物名称</w:t>
            </w:r>
          </w:p>
        </w:tc>
        <w:tc>
          <w:tcPr>
            <w:tcW w:w="3800" w:type="dxa"/>
          </w:tcPr>
          <w:p>
            <w:pPr>
              <w:pStyle w:val="TableParagraph"/>
              <w:spacing w:before="114"/>
              <w:ind w:left="32" w:right="32"/>
              <w:rPr>
                <w:b/>
                <w:sz w:val="21"/>
              </w:rPr>
            </w:pPr>
            <w:r>
              <w:rPr>
                <w:b/>
                <w:sz w:val="21"/>
              </w:rPr>
              <w:t>防治措施</w:t>
            </w:r>
          </w:p>
        </w:tc>
        <w:tc>
          <w:tcPr>
            <w:tcW w:w="2091" w:type="dxa"/>
          </w:tcPr>
          <w:p>
            <w:pPr>
              <w:pStyle w:val="TableParagraph"/>
              <w:spacing w:before="114"/>
              <w:ind w:left="21" w:right="22"/>
              <w:rPr>
                <w:b/>
                <w:sz w:val="21"/>
              </w:rPr>
            </w:pPr>
            <w:r>
              <w:rPr>
                <w:b/>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2"/>
              <w:ind w:left="131" w:right="112"/>
              <w:jc w:val="left"/>
              <w:rPr>
                <w:sz w:val="21"/>
              </w:rPr>
            </w:pPr>
            <w:r>
              <w:rPr>
                <w:sz w:val="21"/>
              </w:rPr>
              <w:t>水污染物</w:t>
            </w:r>
          </w:p>
        </w:tc>
        <w:tc>
          <w:tcPr>
            <w:tcW w:w="814" w:type="dxa"/>
            <w:vMerge w:val="restart"/>
          </w:tcPr>
          <w:p>
            <w:pPr>
              <w:pStyle w:val="TableParagraph"/>
              <w:spacing w:before="107"/>
              <w:ind w:left="295" w:right="173" w:hanging="104"/>
              <w:jc w:val="left"/>
              <w:rPr>
                <w:sz w:val="21"/>
              </w:rPr>
            </w:pPr>
            <w:r>
              <w:rPr>
                <w:sz w:val="21"/>
              </w:rPr>
              <w:t>施工期</w:t>
            </w:r>
          </w:p>
        </w:tc>
        <w:tc>
          <w:tcPr>
            <w:tcW w:w="1133" w:type="dxa"/>
          </w:tcPr>
          <w:p>
            <w:pPr>
              <w:pStyle w:val="TableParagraph"/>
              <w:spacing w:line="241" w:lineRule="exact"/>
              <w:ind w:left="121" w:right="121"/>
              <w:rPr>
                <w:sz w:val="21"/>
              </w:rPr>
            </w:pPr>
            <w:r>
              <w:rPr>
                <w:sz w:val="21"/>
              </w:rPr>
              <w:t>生活污水</w:t>
            </w:r>
          </w:p>
        </w:tc>
        <w:tc>
          <w:tcPr>
            <w:tcW w:w="3800" w:type="dxa"/>
          </w:tcPr>
          <w:p>
            <w:pPr>
              <w:pStyle w:val="TableParagraph"/>
              <w:spacing w:line="241" w:lineRule="exact"/>
              <w:ind w:left="30" w:right="32"/>
              <w:rPr>
                <w:sz w:val="21"/>
              </w:rPr>
            </w:pPr>
            <w:r>
              <w:rPr>
                <w:sz w:val="21"/>
              </w:rPr>
              <w:t>依托周边住房污水处理设施处理</w:t>
            </w:r>
          </w:p>
        </w:tc>
        <w:tc>
          <w:tcPr>
            <w:tcW w:w="2091" w:type="dxa"/>
          </w:tcPr>
          <w:p>
            <w:pPr>
              <w:pStyle w:val="TableParagraph"/>
              <w:spacing w:line="241" w:lineRule="exact"/>
              <w:ind w:left="19" w:right="22"/>
              <w:rPr>
                <w:sz w:val="21"/>
              </w:rPr>
            </w:pPr>
            <w:r>
              <w:rPr>
                <w:sz w:val="21"/>
              </w:rPr>
              <w:t>达标排放</w:t>
            </w:r>
          </w:p>
        </w:tc>
      </w:tr>
      <w:tr>
        <w:trPr>
          <w:trHeight w:val="554" w:hRule="exact"/>
        </w:trPr>
        <w:tc>
          <w:tcPr>
            <w:tcW w:w="694" w:type="dxa"/>
            <w:vMerge/>
          </w:tcPr>
          <w:p>
            <w:pPr/>
          </w:p>
        </w:tc>
        <w:tc>
          <w:tcPr>
            <w:tcW w:w="814" w:type="dxa"/>
            <w:vMerge/>
          </w:tcPr>
          <w:p>
            <w:pPr/>
          </w:p>
        </w:tc>
        <w:tc>
          <w:tcPr>
            <w:tcW w:w="1133" w:type="dxa"/>
          </w:tcPr>
          <w:p>
            <w:pPr>
              <w:pStyle w:val="TableParagraph"/>
              <w:spacing w:before="102"/>
              <w:ind w:left="121" w:right="121"/>
              <w:rPr>
                <w:sz w:val="21"/>
              </w:rPr>
            </w:pPr>
            <w:r>
              <w:rPr>
                <w:sz w:val="21"/>
              </w:rPr>
              <w:t>施工废水</w:t>
            </w:r>
          </w:p>
        </w:tc>
        <w:tc>
          <w:tcPr>
            <w:tcW w:w="3800" w:type="dxa"/>
          </w:tcPr>
          <w:p>
            <w:pPr>
              <w:pStyle w:val="TableParagraph"/>
              <w:spacing w:line="239" w:lineRule="exact"/>
              <w:ind w:left="105" w:right="2"/>
              <w:rPr>
                <w:sz w:val="21"/>
              </w:rPr>
            </w:pPr>
            <w:r>
              <w:rPr>
                <w:spacing w:val="-11"/>
                <w:sz w:val="21"/>
              </w:rPr>
              <w:t>经临时隔油池隔油、沉淀后回用于降尘，</w:t>
            </w:r>
          </w:p>
          <w:p>
            <w:pPr>
              <w:pStyle w:val="TableParagraph"/>
              <w:spacing w:line="273" w:lineRule="exact"/>
              <w:ind w:left="32" w:right="32"/>
              <w:rPr>
                <w:sz w:val="21"/>
              </w:rPr>
            </w:pPr>
            <w:r>
              <w:rPr>
                <w:sz w:val="21"/>
              </w:rPr>
              <w:t>不外排</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tcPr>
          <w:p>
            <w:pPr/>
          </w:p>
        </w:tc>
        <w:tc>
          <w:tcPr>
            <w:tcW w:w="814" w:type="dxa"/>
          </w:tcPr>
          <w:p>
            <w:pPr>
              <w:pStyle w:val="TableParagraph"/>
              <w:spacing w:line="240" w:lineRule="exact"/>
              <w:ind w:left="173" w:right="171"/>
              <w:rPr>
                <w:sz w:val="21"/>
              </w:rPr>
            </w:pPr>
            <w:r>
              <w:rPr>
                <w:sz w:val="21"/>
              </w:rPr>
              <w:t>营运</w:t>
            </w:r>
          </w:p>
          <w:p>
            <w:pPr>
              <w:pStyle w:val="TableParagraph"/>
              <w:spacing w:line="274" w:lineRule="exact"/>
              <w:rPr>
                <w:sz w:val="21"/>
              </w:rPr>
            </w:pPr>
            <w:r>
              <w:rPr>
                <w:w w:val="100"/>
                <w:sz w:val="21"/>
              </w:rPr>
              <w:t>期</w:t>
            </w:r>
          </w:p>
        </w:tc>
        <w:tc>
          <w:tcPr>
            <w:tcW w:w="1133" w:type="dxa"/>
          </w:tcPr>
          <w:p>
            <w:pPr>
              <w:pStyle w:val="TableParagraph"/>
              <w:spacing w:before="102"/>
              <w:ind w:left="121" w:right="121"/>
              <w:rPr>
                <w:sz w:val="21"/>
              </w:rPr>
            </w:pPr>
            <w:r>
              <w:rPr>
                <w:sz w:val="21"/>
              </w:rPr>
              <w:t>路面径流</w:t>
            </w:r>
          </w:p>
        </w:tc>
        <w:tc>
          <w:tcPr>
            <w:tcW w:w="3800" w:type="dxa"/>
          </w:tcPr>
          <w:p>
            <w:pPr>
              <w:pStyle w:val="TableParagraph"/>
              <w:spacing w:line="240" w:lineRule="exact"/>
              <w:ind w:left="30" w:right="32"/>
              <w:rPr>
                <w:sz w:val="21"/>
              </w:rPr>
            </w:pPr>
            <w:r>
              <w:rPr>
                <w:sz w:val="21"/>
              </w:rPr>
              <w:t>路面径流通过路面排水系统排入就近道</w:t>
            </w:r>
          </w:p>
          <w:p>
            <w:pPr>
              <w:pStyle w:val="TableParagraph"/>
              <w:spacing w:line="274" w:lineRule="exact"/>
              <w:ind w:left="29" w:right="32"/>
              <w:rPr>
                <w:sz w:val="21"/>
              </w:rPr>
            </w:pPr>
            <w:r>
              <w:rPr>
                <w:sz w:val="21"/>
              </w:rPr>
              <w:t>路雨水管网</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37" w:lineRule="auto" w:before="131"/>
              <w:ind w:left="131" w:right="127"/>
              <w:jc w:val="both"/>
              <w:rPr>
                <w:sz w:val="21"/>
              </w:rPr>
            </w:pPr>
            <w:r>
              <w:rPr>
                <w:sz w:val="21"/>
              </w:rPr>
              <w:t>大气污染物</w:t>
            </w:r>
          </w:p>
        </w:tc>
        <w:tc>
          <w:tcPr>
            <w:tcW w:w="814" w:type="dxa"/>
            <w:vMerge w:val="restart"/>
          </w:tcPr>
          <w:p>
            <w:pPr>
              <w:pStyle w:val="TableParagraph"/>
              <w:spacing w:before="2"/>
              <w:jc w:val="left"/>
              <w:rPr>
                <w:b/>
                <w:sz w:val="21"/>
              </w:rPr>
            </w:pPr>
          </w:p>
          <w:p>
            <w:pPr>
              <w:pStyle w:val="TableParagraph"/>
              <w:spacing w:line="272" w:lineRule="exact"/>
              <w:ind w:left="295" w:right="173" w:hanging="104"/>
              <w:jc w:val="left"/>
              <w:rPr>
                <w:sz w:val="21"/>
              </w:rPr>
            </w:pPr>
            <w:r>
              <w:rPr>
                <w:sz w:val="21"/>
              </w:rPr>
              <w:t>施工期</w:t>
            </w:r>
          </w:p>
        </w:tc>
        <w:tc>
          <w:tcPr>
            <w:tcW w:w="1133" w:type="dxa"/>
          </w:tcPr>
          <w:p>
            <w:pPr>
              <w:pStyle w:val="TableParagraph"/>
              <w:spacing w:before="102"/>
              <w:ind w:left="121" w:right="121"/>
              <w:rPr>
                <w:sz w:val="21"/>
              </w:rPr>
            </w:pPr>
            <w:r>
              <w:rPr>
                <w:sz w:val="21"/>
              </w:rPr>
              <w:t>扬尘</w:t>
            </w:r>
          </w:p>
        </w:tc>
        <w:tc>
          <w:tcPr>
            <w:tcW w:w="3800" w:type="dxa"/>
          </w:tcPr>
          <w:p>
            <w:pPr>
              <w:pStyle w:val="TableParagraph"/>
              <w:spacing w:line="240" w:lineRule="exact"/>
              <w:ind w:left="30" w:right="32"/>
              <w:rPr>
                <w:sz w:val="21"/>
              </w:rPr>
            </w:pPr>
            <w:r>
              <w:rPr>
                <w:sz w:val="21"/>
              </w:rPr>
              <w:t>安装密目网、常洒水、使用防尘布遮盖</w:t>
            </w:r>
          </w:p>
          <w:p>
            <w:pPr>
              <w:pStyle w:val="TableParagraph"/>
              <w:spacing w:line="274" w:lineRule="exact"/>
              <w:ind w:right="5"/>
              <w:rPr>
                <w:sz w:val="21"/>
              </w:rPr>
            </w:pPr>
            <w:r>
              <w:rPr>
                <w:w w:val="100"/>
                <w:sz w:val="21"/>
              </w:rPr>
              <w:t>等</w:t>
            </w:r>
          </w:p>
        </w:tc>
        <w:tc>
          <w:tcPr>
            <w:tcW w:w="2091" w:type="dxa"/>
          </w:tcPr>
          <w:p>
            <w:pPr>
              <w:pStyle w:val="TableParagraph"/>
              <w:spacing w:before="102"/>
              <w:ind w:left="19" w:right="22"/>
              <w:rPr>
                <w:sz w:val="21"/>
              </w:rPr>
            </w:pPr>
            <w:r>
              <w:rPr>
                <w:sz w:val="21"/>
              </w:rPr>
              <w:t>达标排放</w:t>
            </w:r>
          </w:p>
        </w:tc>
      </w:tr>
      <w:tr>
        <w:trPr>
          <w:trHeight w:val="283"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施工废气</w:t>
            </w:r>
          </w:p>
        </w:tc>
        <w:tc>
          <w:tcPr>
            <w:tcW w:w="3800" w:type="dxa"/>
          </w:tcPr>
          <w:p>
            <w:pPr>
              <w:pStyle w:val="TableParagraph"/>
              <w:spacing w:before="10"/>
              <w:ind w:right="4"/>
              <w:rPr>
                <w:rFonts w:ascii="Times New Roman"/>
                <w:sz w:val="21"/>
              </w:rPr>
            </w:pPr>
            <w:r>
              <w:rPr>
                <w:rFonts w:ascii="Times New Roman"/>
                <w:w w:val="100"/>
                <w:sz w:val="21"/>
              </w:rPr>
              <w:t>/</w:t>
            </w:r>
          </w:p>
        </w:tc>
        <w:tc>
          <w:tcPr>
            <w:tcW w:w="2091" w:type="dxa"/>
          </w:tcPr>
          <w:p>
            <w:pPr>
              <w:pStyle w:val="TableParagraph"/>
              <w:spacing w:line="241" w:lineRule="exact"/>
              <w:ind w:left="19" w:right="22"/>
              <w:rPr>
                <w:sz w:val="21"/>
              </w:rPr>
            </w:pPr>
            <w:r>
              <w:rPr>
                <w:sz w:val="21"/>
              </w:rPr>
              <w:t>无明显影响</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沥青烟</w:t>
            </w:r>
          </w:p>
        </w:tc>
        <w:tc>
          <w:tcPr>
            <w:tcW w:w="3800" w:type="dxa"/>
          </w:tcPr>
          <w:p>
            <w:pPr>
              <w:pStyle w:val="TableParagraph"/>
              <w:spacing w:line="241" w:lineRule="exact"/>
              <w:ind w:left="30" w:right="32"/>
              <w:rPr>
                <w:sz w:val="21"/>
              </w:rPr>
            </w:pPr>
            <w:r>
              <w:rPr>
                <w:sz w:val="21"/>
              </w:rPr>
              <w:t>采用灌装沥青专用车辆装运</w:t>
            </w:r>
          </w:p>
        </w:tc>
        <w:tc>
          <w:tcPr>
            <w:tcW w:w="2091" w:type="dxa"/>
          </w:tcPr>
          <w:p>
            <w:pPr>
              <w:pStyle w:val="TableParagraph"/>
              <w:spacing w:line="241" w:lineRule="exact"/>
              <w:ind w:left="19" w:right="22"/>
              <w:rPr>
                <w:sz w:val="21"/>
              </w:rPr>
            </w:pPr>
            <w:r>
              <w:rPr>
                <w:sz w:val="21"/>
              </w:rPr>
              <w:t>达标排放</w:t>
            </w:r>
          </w:p>
        </w:tc>
      </w:tr>
      <w:tr>
        <w:trPr>
          <w:trHeight w:val="557"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before="102"/>
              <w:ind w:left="121" w:right="121"/>
              <w:rPr>
                <w:sz w:val="21"/>
              </w:rPr>
            </w:pPr>
            <w:r>
              <w:rPr>
                <w:sz w:val="21"/>
              </w:rPr>
              <w:t>汽车尾气</w:t>
            </w:r>
          </w:p>
        </w:tc>
        <w:tc>
          <w:tcPr>
            <w:tcW w:w="3800" w:type="dxa"/>
          </w:tcPr>
          <w:p>
            <w:pPr>
              <w:pStyle w:val="TableParagraph"/>
              <w:spacing w:before="102"/>
              <w:ind w:left="29" w:right="32"/>
              <w:rPr>
                <w:sz w:val="21"/>
              </w:rPr>
            </w:pPr>
            <w:r>
              <w:rPr>
                <w:sz w:val="21"/>
              </w:rPr>
              <w:t>加强管理</w:t>
            </w:r>
          </w:p>
        </w:tc>
        <w:tc>
          <w:tcPr>
            <w:tcW w:w="2091" w:type="dxa"/>
          </w:tcPr>
          <w:p>
            <w:pPr>
              <w:pStyle w:val="TableParagraph"/>
              <w:spacing w:before="102"/>
              <w:ind w:left="19" w:right="22"/>
              <w:rPr>
                <w:sz w:val="21"/>
              </w:rPr>
            </w:pPr>
            <w:r>
              <w:rPr>
                <w:sz w:val="21"/>
              </w:rPr>
              <w:t>达标排放</w:t>
            </w:r>
          </w:p>
        </w:tc>
      </w:tr>
      <w:tr>
        <w:trPr>
          <w:trHeight w:val="554" w:hRule="exact"/>
        </w:trPr>
        <w:tc>
          <w:tcPr>
            <w:tcW w:w="694" w:type="dxa"/>
            <w:vMerge w:val="restart"/>
          </w:tcPr>
          <w:p>
            <w:pPr>
              <w:pStyle w:val="TableParagraph"/>
              <w:spacing w:line="237" w:lineRule="auto" w:before="114"/>
              <w:ind w:left="235" w:right="235"/>
              <w:jc w:val="both"/>
              <w:rPr>
                <w:sz w:val="21"/>
              </w:rPr>
            </w:pPr>
            <w:r>
              <w:rPr>
                <w:sz w:val="21"/>
              </w:rPr>
              <w:t>固体废物</w:t>
            </w:r>
          </w:p>
        </w:tc>
        <w:tc>
          <w:tcPr>
            <w:tcW w:w="814" w:type="dxa"/>
            <w:vMerge w:val="restart"/>
          </w:tcPr>
          <w:p>
            <w:pPr>
              <w:pStyle w:val="TableParagraph"/>
              <w:spacing w:line="272" w:lineRule="exact" w:before="135"/>
              <w:ind w:left="295" w:right="173" w:hanging="104"/>
              <w:jc w:val="left"/>
              <w:rPr>
                <w:sz w:val="21"/>
              </w:rPr>
            </w:pPr>
            <w:r>
              <w:rPr>
                <w:sz w:val="21"/>
              </w:rPr>
              <w:t>施工期</w:t>
            </w:r>
          </w:p>
        </w:tc>
        <w:tc>
          <w:tcPr>
            <w:tcW w:w="1133" w:type="dxa"/>
          </w:tcPr>
          <w:p>
            <w:pPr>
              <w:pStyle w:val="TableParagraph"/>
              <w:spacing w:before="100"/>
              <w:ind w:left="121" w:right="121"/>
              <w:rPr>
                <w:sz w:val="21"/>
              </w:rPr>
            </w:pPr>
            <w:r>
              <w:rPr>
                <w:sz w:val="21"/>
              </w:rPr>
              <w:t>土石方</w:t>
            </w:r>
          </w:p>
        </w:tc>
        <w:tc>
          <w:tcPr>
            <w:tcW w:w="3800" w:type="dxa"/>
          </w:tcPr>
          <w:p>
            <w:pPr>
              <w:pStyle w:val="TableParagraph"/>
              <w:spacing w:line="247" w:lineRule="exact"/>
              <w:ind w:left="30" w:right="32"/>
              <w:rPr>
                <w:sz w:val="21"/>
              </w:rPr>
            </w:pPr>
            <w:r>
              <w:rPr>
                <w:sz w:val="21"/>
              </w:rPr>
              <w:t>挖方 </w:t>
            </w:r>
            <w:r>
              <w:rPr>
                <w:rFonts w:ascii="Times New Roman" w:eastAsia="Times New Roman"/>
                <w:sz w:val="21"/>
              </w:rPr>
              <w:t>1062m</w:t>
            </w:r>
            <w:r>
              <w:rPr>
                <w:rFonts w:ascii="Times New Roman" w:eastAsia="Times New Roman"/>
                <w:position w:val="10"/>
                <w:sz w:val="14"/>
              </w:rPr>
              <w:t>3</w:t>
            </w:r>
            <w:r>
              <w:rPr>
                <w:sz w:val="21"/>
              </w:rPr>
              <w:t>，无填方，弃方 </w:t>
            </w:r>
            <w:r>
              <w:rPr>
                <w:rFonts w:ascii="Times New Roman" w:eastAsia="Times New Roman"/>
                <w:sz w:val="21"/>
              </w:rPr>
              <w:t>1062m</w:t>
            </w:r>
            <w:r>
              <w:rPr>
                <w:rFonts w:ascii="Times New Roman" w:eastAsia="Times New Roman"/>
                <w:position w:val="10"/>
                <w:sz w:val="14"/>
              </w:rPr>
              <w:t>3</w:t>
            </w:r>
            <w:r>
              <w:rPr>
                <w:sz w:val="21"/>
              </w:rPr>
              <w:t>，</w:t>
            </w:r>
          </w:p>
          <w:p>
            <w:pPr>
              <w:pStyle w:val="TableParagraph"/>
              <w:spacing w:line="265" w:lineRule="exact"/>
              <w:ind w:left="32" w:right="32"/>
              <w:rPr>
                <w:sz w:val="21"/>
              </w:rPr>
            </w:pPr>
            <w:r>
              <w:rPr>
                <w:sz w:val="21"/>
              </w:rPr>
              <w:t>弃方运至指定堆场堆放</w:t>
            </w:r>
          </w:p>
        </w:tc>
        <w:tc>
          <w:tcPr>
            <w:tcW w:w="2091" w:type="dxa"/>
          </w:tcPr>
          <w:p>
            <w:pPr>
              <w:pStyle w:val="TableParagraph"/>
              <w:spacing w:before="100"/>
              <w:ind w:left="19" w:right="22"/>
              <w:rPr>
                <w:sz w:val="21"/>
              </w:rPr>
            </w:pPr>
            <w:r>
              <w:rPr>
                <w:sz w:val="21"/>
              </w:rPr>
              <w:t>可实现无害化处置</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生活垃圾</w:t>
            </w:r>
          </w:p>
        </w:tc>
        <w:tc>
          <w:tcPr>
            <w:tcW w:w="3800" w:type="dxa"/>
          </w:tcPr>
          <w:p>
            <w:pPr>
              <w:pStyle w:val="TableParagraph"/>
              <w:spacing w:line="241" w:lineRule="exact"/>
              <w:ind w:left="30" w:right="32"/>
              <w:rPr>
                <w:sz w:val="21"/>
              </w:rPr>
            </w:pPr>
            <w:r>
              <w:rPr>
                <w:sz w:val="21"/>
              </w:rPr>
              <w:t>由市政环卫部门清运</w:t>
            </w:r>
          </w:p>
        </w:tc>
        <w:tc>
          <w:tcPr>
            <w:tcW w:w="2091" w:type="dxa"/>
          </w:tcPr>
          <w:p>
            <w:pPr>
              <w:pStyle w:val="TableParagraph"/>
              <w:spacing w:line="241" w:lineRule="exact"/>
              <w:ind w:left="19" w:right="22"/>
              <w:rPr>
                <w:sz w:val="21"/>
              </w:rPr>
            </w:pPr>
            <w:r>
              <w:rPr>
                <w:sz w:val="21"/>
              </w:rPr>
              <w:t>可实现无害化处置</w:t>
            </w:r>
          </w:p>
        </w:tc>
      </w:tr>
      <w:tr>
        <w:trPr>
          <w:trHeight w:val="554"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line="241" w:lineRule="exact"/>
              <w:ind w:left="139"/>
              <w:jc w:val="left"/>
              <w:rPr>
                <w:sz w:val="21"/>
              </w:rPr>
            </w:pPr>
            <w:r>
              <w:rPr>
                <w:sz w:val="21"/>
              </w:rPr>
              <w:t>沿线丢弃</w:t>
            </w:r>
          </w:p>
          <w:p>
            <w:pPr>
              <w:pStyle w:val="TableParagraph"/>
              <w:spacing w:line="273" w:lineRule="exact"/>
              <w:ind w:left="139"/>
              <w:jc w:val="left"/>
              <w:rPr>
                <w:sz w:val="21"/>
              </w:rPr>
            </w:pPr>
            <w:r>
              <w:rPr>
                <w:sz w:val="21"/>
              </w:rPr>
              <w:t>生活垃圾</w:t>
            </w:r>
          </w:p>
        </w:tc>
        <w:tc>
          <w:tcPr>
            <w:tcW w:w="3800" w:type="dxa"/>
          </w:tcPr>
          <w:p>
            <w:pPr>
              <w:pStyle w:val="TableParagraph"/>
              <w:spacing w:before="102"/>
              <w:ind w:left="30" w:right="32"/>
              <w:rPr>
                <w:sz w:val="21"/>
              </w:rPr>
            </w:pPr>
            <w:r>
              <w:rPr>
                <w:sz w:val="21"/>
              </w:rPr>
              <w:t>由市政环卫部门清运</w:t>
            </w:r>
          </w:p>
        </w:tc>
        <w:tc>
          <w:tcPr>
            <w:tcW w:w="2091" w:type="dxa"/>
          </w:tcPr>
          <w:p>
            <w:pPr>
              <w:pStyle w:val="TableParagraph"/>
              <w:spacing w:before="102"/>
              <w:ind w:left="19" w:right="22"/>
              <w:rPr>
                <w:sz w:val="21"/>
              </w:rPr>
            </w:pPr>
            <w:r>
              <w:rPr>
                <w:sz w:val="21"/>
              </w:rPr>
              <w:t>可实现无害化处置</w:t>
            </w:r>
          </w:p>
        </w:tc>
      </w:tr>
      <w:tr>
        <w:trPr>
          <w:trHeight w:val="1102" w:hRule="exact"/>
        </w:trPr>
        <w:tc>
          <w:tcPr>
            <w:tcW w:w="694" w:type="dxa"/>
            <w:vMerge w:val="restart"/>
          </w:tcPr>
          <w:p>
            <w:pPr>
              <w:pStyle w:val="TableParagraph"/>
              <w:jc w:val="left"/>
              <w:rPr>
                <w:b/>
                <w:sz w:val="20"/>
              </w:rPr>
            </w:pPr>
          </w:p>
          <w:p>
            <w:pPr>
              <w:pStyle w:val="TableParagraph"/>
              <w:spacing w:before="11"/>
              <w:jc w:val="left"/>
              <w:rPr>
                <w:b/>
                <w:sz w:val="29"/>
              </w:rPr>
            </w:pPr>
          </w:p>
          <w:p>
            <w:pPr>
              <w:pStyle w:val="TableParagraph"/>
              <w:ind w:left="235" w:right="235"/>
              <w:rPr>
                <w:sz w:val="21"/>
              </w:rPr>
            </w:pPr>
            <w:r>
              <w:rPr>
                <w:sz w:val="21"/>
              </w:rPr>
              <w:t>噪声</w:t>
            </w:r>
          </w:p>
        </w:tc>
        <w:tc>
          <w:tcPr>
            <w:tcW w:w="814" w:type="dxa"/>
          </w:tcPr>
          <w:p>
            <w:pPr>
              <w:pStyle w:val="TableParagraph"/>
              <w:spacing w:before="3"/>
              <w:jc w:val="left"/>
              <w:rPr>
                <w:b/>
                <w:sz w:val="18"/>
              </w:rPr>
            </w:pPr>
          </w:p>
          <w:p>
            <w:pPr>
              <w:pStyle w:val="TableParagraph"/>
              <w:spacing w:before="1"/>
              <w:ind w:left="295" w:right="173" w:hanging="104"/>
              <w:jc w:val="left"/>
              <w:rPr>
                <w:sz w:val="21"/>
              </w:rPr>
            </w:pPr>
            <w:r>
              <w:rPr>
                <w:sz w:val="21"/>
              </w:rPr>
              <w:t>施工期</w:t>
            </w:r>
          </w:p>
        </w:tc>
        <w:tc>
          <w:tcPr>
            <w:tcW w:w="1133" w:type="dxa"/>
          </w:tcPr>
          <w:p>
            <w:pPr>
              <w:pStyle w:val="TableParagraph"/>
              <w:spacing w:before="9"/>
              <w:jc w:val="left"/>
              <w:rPr>
                <w:b/>
                <w:sz w:val="28"/>
              </w:rPr>
            </w:pPr>
          </w:p>
          <w:p>
            <w:pPr>
              <w:pStyle w:val="TableParagraph"/>
              <w:spacing w:before="1"/>
              <w:ind w:left="121" w:right="121"/>
              <w:rPr>
                <w:sz w:val="21"/>
              </w:rPr>
            </w:pPr>
            <w:r>
              <w:rPr>
                <w:sz w:val="21"/>
              </w:rPr>
              <w:t>施工机械</w:t>
            </w:r>
          </w:p>
        </w:tc>
        <w:tc>
          <w:tcPr>
            <w:tcW w:w="3800" w:type="dxa"/>
          </w:tcPr>
          <w:p>
            <w:pPr>
              <w:pStyle w:val="TableParagraph"/>
              <w:spacing w:line="241" w:lineRule="exact"/>
              <w:ind w:left="30" w:right="32"/>
              <w:rPr>
                <w:sz w:val="21"/>
              </w:rPr>
            </w:pPr>
            <w:r>
              <w:rPr>
                <w:sz w:val="21"/>
              </w:rPr>
              <w:t>合理布置施工场地，采取降噪措施；合</w:t>
            </w:r>
          </w:p>
          <w:p>
            <w:pPr>
              <w:pStyle w:val="TableParagraph"/>
              <w:spacing w:line="237" w:lineRule="auto"/>
              <w:ind w:left="29" w:right="32"/>
              <w:rPr>
                <w:sz w:val="21"/>
              </w:rPr>
            </w:pPr>
            <w:r>
              <w:rPr>
                <w:sz w:val="21"/>
              </w:rPr>
              <w:t>理安排施工时间；合理安排施工工序； 严格施工现场管理，进行文明施工等， 将影响降到最低</w:t>
            </w:r>
          </w:p>
        </w:tc>
        <w:tc>
          <w:tcPr>
            <w:tcW w:w="2091" w:type="dxa"/>
          </w:tcPr>
          <w:p>
            <w:pPr>
              <w:pStyle w:val="TableParagraph"/>
              <w:spacing w:line="237" w:lineRule="auto" w:before="105"/>
              <w:ind w:left="107" w:right="108" w:firstLine="88"/>
              <w:jc w:val="both"/>
              <w:rPr>
                <w:sz w:val="21"/>
              </w:rPr>
            </w:pPr>
            <w:r>
              <w:rPr>
                <w:spacing w:val="-3"/>
                <w:sz w:val="21"/>
              </w:rPr>
              <w:t>《建筑施工场界环境噪声排放标准》</w:t>
            </w:r>
            <w:r>
              <w:rPr>
                <w:rFonts w:ascii="Times New Roman" w:eastAsia="Times New Roman"/>
                <w:spacing w:val="-2"/>
                <w:sz w:val="21"/>
              </w:rPr>
              <w:t>(GB12523-2011)</w:t>
            </w:r>
            <w:r>
              <w:rPr>
                <w:spacing w:val="-1"/>
                <w:sz w:val="21"/>
              </w:rPr>
              <w:t>标准</w:t>
            </w:r>
          </w:p>
        </w:tc>
      </w:tr>
      <w:tr>
        <w:trPr>
          <w:trHeight w:val="826" w:hRule="exact"/>
        </w:trPr>
        <w:tc>
          <w:tcPr>
            <w:tcW w:w="694" w:type="dxa"/>
            <w:vMerge/>
          </w:tcPr>
          <w:p>
            <w:pPr/>
          </w:p>
        </w:tc>
        <w:tc>
          <w:tcPr>
            <w:tcW w:w="814" w:type="dxa"/>
          </w:tcPr>
          <w:p>
            <w:pPr>
              <w:pStyle w:val="TableParagraph"/>
              <w:spacing w:before="100"/>
              <w:ind w:left="295" w:right="173" w:hanging="104"/>
              <w:jc w:val="left"/>
              <w:rPr>
                <w:sz w:val="21"/>
              </w:rPr>
            </w:pPr>
            <w:r>
              <w:rPr>
                <w:sz w:val="21"/>
              </w:rPr>
              <w:t>营运期</w:t>
            </w:r>
          </w:p>
        </w:tc>
        <w:tc>
          <w:tcPr>
            <w:tcW w:w="1133" w:type="dxa"/>
          </w:tcPr>
          <w:p>
            <w:pPr>
              <w:pStyle w:val="TableParagraph"/>
              <w:spacing w:before="1"/>
              <w:jc w:val="left"/>
              <w:rPr>
                <w:b/>
                <w:sz w:val="18"/>
              </w:rPr>
            </w:pPr>
          </w:p>
          <w:p>
            <w:pPr>
              <w:pStyle w:val="TableParagraph"/>
              <w:spacing w:before="1"/>
              <w:ind w:left="121" w:right="121"/>
              <w:rPr>
                <w:sz w:val="21"/>
              </w:rPr>
            </w:pPr>
            <w:r>
              <w:rPr>
                <w:sz w:val="21"/>
              </w:rPr>
              <w:t>车辆噪声</w:t>
            </w:r>
          </w:p>
        </w:tc>
        <w:tc>
          <w:tcPr>
            <w:tcW w:w="3800" w:type="dxa"/>
          </w:tcPr>
          <w:p>
            <w:pPr>
              <w:pStyle w:val="TableParagraph"/>
              <w:spacing w:before="1"/>
              <w:jc w:val="left"/>
              <w:rPr>
                <w:b/>
                <w:sz w:val="18"/>
              </w:rPr>
            </w:pPr>
          </w:p>
          <w:p>
            <w:pPr>
              <w:pStyle w:val="TableParagraph"/>
              <w:spacing w:before="1"/>
              <w:ind w:left="30" w:right="32"/>
              <w:rPr>
                <w:sz w:val="21"/>
              </w:rPr>
            </w:pPr>
            <w:r>
              <w:rPr>
                <w:sz w:val="21"/>
              </w:rPr>
              <w:t>限速行驶，规范秩序</w:t>
            </w:r>
          </w:p>
        </w:tc>
        <w:tc>
          <w:tcPr>
            <w:tcW w:w="2091" w:type="dxa"/>
          </w:tcPr>
          <w:p>
            <w:pPr>
              <w:pStyle w:val="TableParagraph"/>
              <w:spacing w:line="239" w:lineRule="exact"/>
              <w:ind w:left="122" w:right="22"/>
              <w:rPr>
                <w:sz w:val="21"/>
              </w:rPr>
            </w:pPr>
            <w:r>
              <w:rPr>
                <w:sz w:val="21"/>
              </w:rPr>
              <w:t>《声环境质量标准》</w:t>
            </w:r>
          </w:p>
          <w:p>
            <w:pPr>
              <w:pStyle w:val="TableParagraph"/>
              <w:spacing w:line="281" w:lineRule="exact"/>
              <w:ind w:left="81"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0" w:right="22"/>
              <w:rPr>
                <w:sz w:val="21"/>
              </w:rPr>
            </w:pPr>
            <w:r>
              <w:rPr>
                <w:rFonts w:ascii="Times New Roman" w:eastAsia="Times New Roman"/>
                <w:sz w:val="21"/>
              </w:rPr>
              <w:t>4a </w:t>
            </w:r>
            <w:r>
              <w:rPr>
                <w:sz w:val="21"/>
              </w:rPr>
              <w:t>类</w:t>
            </w:r>
          </w:p>
        </w:tc>
      </w:tr>
      <w:tr>
        <w:trPr>
          <w:trHeight w:val="6025" w:hRule="exact"/>
        </w:trPr>
        <w:tc>
          <w:tcPr>
            <w:tcW w:w="8531" w:type="dxa"/>
            <w:gridSpan w:val="5"/>
          </w:tcPr>
          <w:p>
            <w:pPr>
              <w:pStyle w:val="TableParagraph"/>
              <w:spacing w:line="274" w:lineRule="exact"/>
              <w:ind w:left="103"/>
              <w:jc w:val="left"/>
              <w:rPr>
                <w:b/>
                <w:sz w:val="24"/>
              </w:rPr>
            </w:pPr>
            <w:r>
              <w:rPr>
                <w:b/>
                <w:w w:val="95"/>
                <w:sz w:val="24"/>
              </w:rPr>
              <w:t>生态保护措施及预期效果</w:t>
            </w:r>
          </w:p>
          <w:p>
            <w:pPr>
              <w:pStyle w:val="TableParagraph"/>
              <w:spacing w:line="331" w:lineRule="auto" w:before="154"/>
              <w:ind w:left="103" w:right="146" w:firstLine="479"/>
              <w:jc w:val="left"/>
              <w:rPr>
                <w:sz w:val="24"/>
              </w:rPr>
            </w:pPr>
            <w:r>
              <w:rPr>
                <w:spacing w:val="-8"/>
                <w:sz w:val="24"/>
              </w:rPr>
              <w:t>施工期间，应尽可能短的时间内完成开挖、回填工作。施工过程中加强施工管理，严格控制工序，雨季施工采取切实的雨季施工措施，减少水土流失量。</w:t>
            </w:r>
          </w:p>
          <w:p>
            <w:pPr>
              <w:pStyle w:val="TableParagraph"/>
              <w:spacing w:line="333" w:lineRule="auto" w:before="31"/>
              <w:ind w:left="103" w:right="146" w:firstLine="479"/>
              <w:jc w:val="left"/>
              <w:rPr>
                <w:sz w:val="24"/>
              </w:rPr>
            </w:pPr>
            <w:r>
              <w:rPr>
                <w:spacing w:val="-9"/>
                <w:sz w:val="24"/>
              </w:rPr>
              <w:t>营运期间，道路两侧建有完善的雨污排水系统，路面径流通过排水沟排入就</w:t>
            </w:r>
            <w:r>
              <w:rPr>
                <w:spacing w:val="-1"/>
                <w:sz w:val="24"/>
              </w:rPr>
              <w:t>近道路雨水管网，路面径流对周围水体水质影响较小。</w:t>
            </w:r>
          </w:p>
          <w:p>
            <w:pPr>
              <w:pStyle w:val="TableParagraph"/>
              <w:spacing w:line="357" w:lineRule="auto" w:before="26"/>
              <w:ind w:left="103" w:right="146" w:firstLine="479"/>
              <w:jc w:val="left"/>
              <w:rPr>
                <w:sz w:val="24"/>
              </w:rPr>
            </w:pPr>
            <w:r>
              <w:rPr>
                <w:spacing w:val="-9"/>
                <w:sz w:val="24"/>
              </w:rPr>
              <w:t>因此，项目在施工期和运营期都采取一定的保护措施，项目建设对生态环境影响较小。</w:t>
            </w:r>
          </w:p>
        </w:tc>
      </w:tr>
    </w:tbl>
    <w:p>
      <w:pPr>
        <w:spacing w:after="0" w:line="357" w:lineRule="auto"/>
        <w:jc w:val="left"/>
        <w:rPr>
          <w:sz w:val="24"/>
        </w:rPr>
        <w:sectPr>
          <w:pgSz w:w="11910" w:h="16850"/>
          <w:pgMar w:header="0" w:footer="1141" w:top="1400" w:bottom="1340" w:left="1580" w:right="1560"/>
        </w:sectPr>
      </w:pPr>
    </w:p>
    <w:p>
      <w:pPr>
        <w:pStyle w:val="Heading1"/>
        <w:tabs>
          <w:tab w:pos="7408" w:val="left" w:leader="none"/>
        </w:tabs>
        <w:ind w:left="178"/>
        <w:jc w:val="both"/>
      </w:pPr>
      <w:r>
        <w:rPr/>
        <w:pict>
          <v:group style="position:absolute;margin-left:86.653999pt;margin-top:101.169975pt;width:422.15pt;height:654.950pt;mso-position-horizontal-relative:page;mso-position-vertical-relative:page;z-index:-197080" coordorigin="1733,2023" coordsize="8443,13099">
            <v:line style="position:absolute" from="1738,2028" to="1748,2028" stroked="true" strokeweight=".48pt" strokecolor="#000000">
              <v:stroke dashstyle="solid"/>
            </v:line>
            <v:line style="position:absolute" from="1738,2028" to="1748,2028" stroked="true" strokeweight=".48pt" strokecolor="#000000">
              <v:stroke dashstyle="solid"/>
            </v:line>
            <v:line style="position:absolute" from="1748,2028" to="10161,2028" stroked="true" strokeweight=".48pt" strokecolor="#000000">
              <v:stroke dashstyle="solid"/>
            </v:line>
            <v:line style="position:absolute" from="10161,2028" to="10171,2028" stroked="true" strokeweight=".48pt" strokecolor="#000000">
              <v:stroke dashstyle="solid"/>
            </v:line>
            <v:line style="position:absolute" from="10161,2028" to="10171,2028" stroked="true" strokeweight=".48pt" strokecolor="#000000">
              <v:stroke dashstyle="solid"/>
            </v:line>
            <v:line style="position:absolute" from="1743,2033" to="1743,15117" stroked="true" strokeweight=".48pt" strokecolor="#000000">
              <v:stroke dashstyle="solid"/>
            </v:line>
            <v:line style="position:absolute" from="1748,15112" to="10161,15112" stroked="true" strokeweight=".48004pt" strokecolor="#000000">
              <v:stroke dashstyle="solid"/>
            </v:line>
            <v:line style="position:absolute" from="10166,2033" to="10166,15117" stroked="true" strokeweight=".48001pt" strokecolor="#000000">
              <v:stroke dashstyle="solid"/>
            </v:line>
            <w10:wrap type="none"/>
          </v:group>
        </w:pict>
      </w:r>
      <w:r>
        <w:rPr/>
        <w:t>结论建议</w:t>
        <w:tab/>
      </w:r>
      <w:r>
        <w:rPr>
          <w:w w:val="95"/>
        </w:rPr>
        <w:t>（表九）</w:t>
      </w:r>
    </w:p>
    <w:p>
      <w:pPr>
        <w:pStyle w:val="Heading3"/>
        <w:spacing w:before="210"/>
        <w:ind w:left="230"/>
        <w:jc w:val="both"/>
      </w:pPr>
      <w:r>
        <w:rPr/>
        <w:t>一、结论</w:t>
      </w:r>
    </w:p>
    <w:p>
      <w:pPr>
        <w:spacing w:before="153"/>
        <w:ind w:left="713" w:right="0" w:firstLine="0"/>
        <w:jc w:val="left"/>
        <w:rPr>
          <w:b/>
          <w:sz w:val="24"/>
        </w:rPr>
      </w:pPr>
      <w:r>
        <w:rPr>
          <w:b/>
          <w:w w:val="95"/>
          <w:sz w:val="24"/>
        </w:rPr>
        <w:t>1、项目概况</w:t>
      </w:r>
      <w:r>
        <w:rPr>
          <w:b/>
          <w:w w:val="99"/>
          <w:sz w:val="24"/>
        </w:rPr>
        <w:t> </w:t>
      </w:r>
    </w:p>
    <w:p>
      <w:pPr>
        <w:pStyle w:val="BodyText"/>
        <w:spacing w:before="151"/>
        <w:ind w:left="710"/>
      </w:pPr>
      <w:r>
        <w:rPr/>
        <w:t>滨水景观 </w:t>
      </w:r>
      <w:r>
        <w:rPr>
          <w:rFonts w:ascii="Times New Roman" w:eastAsia="Times New Roman"/>
        </w:rPr>
        <w:t>3#</w:t>
      </w:r>
      <w:r>
        <w:rPr/>
        <w:t>桥连接峨城大道段道路工程 位于开江县新宁镇，总投资</w:t>
      </w:r>
    </w:p>
    <w:p>
      <w:pPr>
        <w:pStyle w:val="BodyText"/>
        <w:spacing w:line="338" w:lineRule="auto" w:before="136"/>
        <w:ind w:left="230" w:right="285"/>
        <w:jc w:val="both"/>
      </w:pPr>
      <w:r>
        <w:rPr>
          <w:rFonts w:ascii="Times New Roman" w:eastAsia="Times New Roman"/>
        </w:rPr>
        <w:t>307.5283 </w:t>
      </w:r>
      <w:r>
        <w:rPr>
          <w:spacing w:val="-11"/>
        </w:rPr>
        <w:t>万元，道路全长 </w:t>
      </w:r>
      <w:r>
        <w:rPr>
          <w:rFonts w:ascii="Times New Roman" w:eastAsia="Times New Roman"/>
        </w:rPr>
        <w:t>314m</w:t>
      </w:r>
      <w:r>
        <w:rPr>
          <w:spacing w:val="-13"/>
        </w:rPr>
        <w:t>，红线宽 </w:t>
      </w:r>
      <w:r>
        <w:rPr>
          <w:rFonts w:ascii="Times New Roman" w:eastAsia="Times New Roman"/>
        </w:rPr>
        <w:t>16m</w:t>
      </w:r>
      <w:r>
        <w:rPr>
          <w:spacing w:val="-8"/>
        </w:rPr>
        <w:t>。</w:t>
      </w:r>
      <w:r>
        <w:rPr>
          <w:rFonts w:ascii="Times New Roman" w:eastAsia="Times New Roman"/>
        </w:rPr>
        <w:t>2016 </w:t>
      </w:r>
      <w:r>
        <w:rPr>
          <w:spacing w:val="-31"/>
        </w:rPr>
        <w:t>年 </w:t>
      </w:r>
      <w:r>
        <w:rPr>
          <w:rFonts w:ascii="Times New Roman" w:eastAsia="Times New Roman"/>
        </w:rPr>
        <w:t>5 </w:t>
      </w:r>
      <w:r>
        <w:rPr>
          <w:spacing w:val="-31"/>
        </w:rPr>
        <w:t>月 </w:t>
      </w:r>
      <w:r>
        <w:rPr>
          <w:rFonts w:ascii="Times New Roman" w:eastAsia="Times New Roman"/>
        </w:rPr>
        <w:t>25 </w:t>
      </w:r>
      <w:r>
        <w:rPr>
          <w:spacing w:val="-3"/>
        </w:rPr>
        <w:t>日，开江县发展</w:t>
      </w:r>
      <w:r>
        <w:rPr>
          <w:spacing w:val="-2"/>
        </w:rPr>
        <w:t>和改革局下达了《关于滨水景观 </w:t>
      </w:r>
      <w:r>
        <w:rPr>
          <w:rFonts w:ascii="Times New Roman" w:eastAsia="Times New Roman"/>
        </w:rPr>
        <w:t>3#</w:t>
      </w:r>
      <w:r>
        <w:rPr/>
        <w:t>桥连接峨城大道段道路工程 项目可行性研究报告的批复》（开发行审［</w:t>
      </w:r>
      <w:r>
        <w:rPr>
          <w:rFonts w:ascii="Times New Roman" w:eastAsia="Times New Roman"/>
        </w:rPr>
        <w:t>2016</w:t>
      </w:r>
      <w:r>
        <w:rPr/>
        <w:t>］</w:t>
      </w:r>
      <w:r>
        <w:rPr>
          <w:rFonts w:ascii="Times New Roman" w:eastAsia="Times New Roman"/>
        </w:rPr>
        <w:t>19 </w:t>
      </w:r>
      <w:r>
        <w:rPr/>
        <w:t>号）。</w:t>
      </w:r>
    </w:p>
    <w:p>
      <w:pPr>
        <w:pStyle w:val="Heading3"/>
        <w:spacing w:before="27"/>
        <w:ind w:left="713"/>
      </w:pPr>
      <w:r>
        <w:rPr>
          <w:w w:val="95"/>
        </w:rPr>
        <w:t>2、产业政策符合性结论</w:t>
      </w:r>
      <w:r>
        <w:rPr>
          <w:w w:val="99"/>
        </w:rPr>
        <w:t> </w:t>
      </w:r>
    </w:p>
    <w:p>
      <w:pPr>
        <w:pStyle w:val="BodyText"/>
        <w:spacing w:line="357" w:lineRule="auto" w:before="151"/>
        <w:ind w:left="230" w:right="127" w:firstLine="479"/>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r>
        <w:rPr/>
        <w:t>》</w:t>
      </w:r>
    </w:p>
    <w:p>
      <w:pPr>
        <w:pStyle w:val="BodyText"/>
        <w:spacing w:line="338" w:lineRule="auto" w:before="3"/>
        <w:ind w:left="230" w:right="286"/>
        <w:jc w:val="both"/>
      </w:pPr>
      <w:r>
        <w:rPr/>
        <w:t>（修正</w:t>
      </w:r>
      <w:r>
        <w:rPr>
          <w:spacing w:val="-87"/>
        </w:rPr>
        <w:t>）</w:t>
      </w:r>
      <w:r>
        <w:rPr>
          <w:spacing w:val="-21"/>
        </w:rPr>
        <w:t>，本项目属于第一类“鼓励类”第二十二条“城市基础设施”第 </w:t>
      </w:r>
      <w:r>
        <w:rPr>
          <w:rFonts w:ascii="Times New Roman" w:hAnsi="Times New Roman" w:eastAsia="Times New Roman"/>
        </w:rPr>
        <w:t>4 </w:t>
      </w:r>
      <w:r>
        <w:rPr>
          <w:spacing w:val="-18"/>
        </w:rPr>
        <w:t>款“城</w:t>
      </w:r>
      <w:r>
        <w:rPr>
          <w:spacing w:val="-25"/>
        </w:rPr>
        <w:t>市道路及智能交通体系建设”，</w:t>
      </w:r>
      <w:r>
        <w:rPr>
          <w:rFonts w:ascii="Times New Roman" w:hAnsi="Times New Roman" w:eastAsia="Times New Roman"/>
        </w:rPr>
        <w:t>2016 </w:t>
      </w:r>
      <w:r>
        <w:rPr>
          <w:spacing w:val="-30"/>
        </w:rPr>
        <w:t>年 </w:t>
      </w:r>
      <w:r>
        <w:rPr>
          <w:rFonts w:ascii="Times New Roman" w:hAnsi="Times New Roman" w:eastAsia="Times New Roman"/>
        </w:rPr>
        <w:t>9 </w:t>
      </w:r>
      <w:r>
        <w:rPr>
          <w:spacing w:val="-30"/>
        </w:rPr>
        <w:t>月 </w:t>
      </w:r>
      <w:r>
        <w:rPr>
          <w:rFonts w:ascii="Times New Roman" w:hAnsi="Times New Roman" w:eastAsia="Times New Roman"/>
        </w:rPr>
        <w:t>21 </w:t>
      </w:r>
      <w:r>
        <w:rPr>
          <w:spacing w:val="-3"/>
        </w:rPr>
        <w:t>日，开江县发展和改革局下达了</w:t>
      </w:r>
    </w:p>
    <w:p>
      <w:pPr>
        <w:pStyle w:val="BodyText"/>
        <w:spacing w:line="338" w:lineRule="auto" w:before="24"/>
        <w:ind w:left="230" w:right="286"/>
        <w:jc w:val="both"/>
      </w:pPr>
      <w:r>
        <w:rPr>
          <w:spacing w:val="2"/>
        </w:rPr>
        <w:t>《关于滨水景观 </w:t>
      </w:r>
      <w:r>
        <w:rPr>
          <w:rFonts w:ascii="Times New Roman" w:eastAsia="Times New Roman"/>
        </w:rPr>
        <w:t>3#</w:t>
      </w:r>
      <w:r>
        <w:rPr/>
        <w:t>桥连接峨城大道段道路工程 项目可行性研究报告（代项目建议书）</w:t>
      </w:r>
      <w:r>
        <w:rPr>
          <w:spacing w:val="-14"/>
        </w:rPr>
        <w:t>和招标事项的批复》</w:t>
      </w:r>
      <w:r>
        <w:rPr/>
        <w:t>（开发行审［</w:t>
      </w:r>
      <w:r>
        <w:rPr>
          <w:rFonts w:ascii="Times New Roman" w:eastAsia="Times New Roman"/>
        </w:rPr>
        <w:t>2016</w:t>
      </w:r>
      <w:r>
        <w:rPr/>
        <w:t>］</w:t>
      </w:r>
      <w:r>
        <w:rPr>
          <w:rFonts w:ascii="Times New Roman" w:eastAsia="Times New Roman"/>
        </w:rPr>
        <w:t>19 </w:t>
      </w:r>
      <w:r>
        <w:rPr/>
        <w:t>号</w:t>
      </w:r>
      <w:r>
        <w:rPr>
          <w:spacing w:val="-120"/>
        </w:rPr>
        <w:t>）</w:t>
      </w:r>
      <w:r>
        <w:rPr/>
        <w:t>。 </w:t>
      </w:r>
    </w:p>
    <w:p>
      <w:pPr>
        <w:pStyle w:val="BodyText"/>
        <w:spacing w:before="24"/>
        <w:ind w:left="710"/>
      </w:pPr>
      <w:r>
        <w:rPr/>
        <w:t>综上，该项目建设符合国家现行产业政策。</w:t>
      </w:r>
    </w:p>
    <w:p>
      <w:pPr>
        <w:pStyle w:val="Heading3"/>
        <w:spacing w:before="154"/>
        <w:ind w:left="713"/>
      </w:pPr>
      <w:r>
        <w:rPr>
          <w:rFonts w:ascii="Times New Roman" w:eastAsia="Times New Roman"/>
          <w:w w:val="95"/>
        </w:rPr>
        <w:t>3</w:t>
      </w:r>
      <w:r>
        <w:rPr>
          <w:w w:val="95"/>
        </w:rPr>
        <w:t>、规划符合性和选址合理性</w:t>
      </w:r>
    </w:p>
    <w:p>
      <w:pPr>
        <w:pStyle w:val="BodyText"/>
        <w:spacing w:before="133"/>
        <w:ind w:left="710"/>
      </w:pPr>
      <w:r>
        <w:rPr/>
        <w:t>（</w:t>
      </w:r>
      <w:r>
        <w:rPr>
          <w:rFonts w:ascii="Times New Roman" w:eastAsia="Times New Roman"/>
        </w:rPr>
        <w:t>1</w:t>
      </w:r>
      <w:r>
        <w:rPr/>
        <w:t>）规划符合性分析</w:t>
      </w:r>
    </w:p>
    <w:p>
      <w:pPr>
        <w:pStyle w:val="BodyText"/>
        <w:spacing w:line="350" w:lineRule="auto" w:before="135"/>
        <w:ind w:left="230" w:right="284" w:firstLine="479"/>
        <w:jc w:val="both"/>
      </w:pPr>
      <w:r>
        <w:rPr>
          <w:spacing w:val="-7"/>
        </w:rPr>
        <w:t>本项目为滨水景观 </w:t>
      </w:r>
      <w:r>
        <w:rPr>
          <w:rFonts w:ascii="Times New Roman" w:eastAsia="Times New Roman"/>
        </w:rPr>
        <w:t>3#</w:t>
      </w:r>
      <w:r>
        <w:rPr>
          <w:spacing w:val="-3"/>
        </w:rPr>
        <w:t>桥连接峨城大道段道路工程，位于新宁镇，属于市政配套工程基础设施建设，项目建成后，完善了该区域的路网结构。本项目是开江县城市道路的重要组成部分，也是开江县城市道路的重要道路，符合《四川省达州市开江县城市总体规划（2013-2030）》的中心城区道路系统规划。</w:t>
      </w:r>
    </w:p>
    <w:p>
      <w:pPr>
        <w:pStyle w:val="BodyText"/>
        <w:spacing w:before="43"/>
        <w:ind w:left="710"/>
      </w:pPr>
      <w:r>
        <w:rPr/>
        <w:t>综上所述，本项目符合相关规划要求。</w:t>
      </w:r>
    </w:p>
    <w:p>
      <w:pPr>
        <w:pStyle w:val="BodyText"/>
        <w:spacing w:before="152"/>
        <w:ind w:left="710"/>
      </w:pPr>
      <w:r>
        <w:rPr/>
        <w:t>（</w:t>
      </w:r>
      <w:r>
        <w:rPr>
          <w:rFonts w:ascii="Times New Roman" w:eastAsia="Times New Roman"/>
        </w:rPr>
        <w:t>2</w:t>
      </w:r>
      <w:r>
        <w:rPr/>
        <w:t>）选址合理性</w:t>
      </w:r>
    </w:p>
    <w:p>
      <w:pPr>
        <w:pStyle w:val="BodyText"/>
        <w:spacing w:line="338" w:lineRule="auto" w:before="135"/>
        <w:ind w:left="230" w:right="195" w:firstLine="479"/>
      </w:pPr>
      <w:r>
        <w:rPr>
          <w:spacing w:val="-7"/>
        </w:rPr>
        <w:t>本项目位于开江县新宁镇。本工程全长 </w:t>
      </w:r>
      <w:r>
        <w:rPr>
          <w:rFonts w:ascii="Times New Roman" w:eastAsia="Times New Roman"/>
          <w:spacing w:val="-6"/>
        </w:rPr>
        <w:t>314m</w:t>
      </w:r>
      <w:r>
        <w:rPr>
          <w:spacing w:val="-6"/>
        </w:rPr>
        <w:t>，符合《四川省达州市开江县</w:t>
      </w:r>
      <w:r>
        <w:rPr>
          <w:spacing w:val="-1"/>
        </w:rPr>
        <w:t>城市总体规划</w:t>
      </w:r>
      <w:r>
        <w:rPr/>
        <w:t>（2013-2030）》的中心城区道路系统规划。</w:t>
      </w:r>
    </w:p>
    <w:p>
      <w:pPr>
        <w:pStyle w:val="BodyText"/>
        <w:spacing w:line="357" w:lineRule="auto" w:before="52"/>
        <w:ind w:left="230" w:right="195" w:firstLine="479"/>
      </w:pPr>
      <w:r>
        <w:rPr/>
        <w:t>根据现场勘查，项目道路用地红线范围内，不存在临时堆土、建筑垃圾等施工期环境遗留问题，区域地势平坦，工程占地范围内不涉及居民拆迁。</w:t>
      </w:r>
    </w:p>
    <w:p>
      <w:pPr>
        <w:pStyle w:val="BodyText"/>
        <w:spacing w:line="357" w:lineRule="auto" w:before="33"/>
        <w:ind w:left="230" w:right="195" w:firstLine="479"/>
      </w:pPr>
      <w:r>
        <w:rPr/>
        <w:t>项目周边市政道路完善，施工材料运输便捷。本项目道路起点与现有道路相接。起点位连接滨河路，终点连接峨城大道，沿线两侧有少量居民，其它道</w:t>
      </w:r>
    </w:p>
    <w:p>
      <w:pPr>
        <w:spacing w:after="0" w:line="357" w:lineRule="auto"/>
        <w:sectPr>
          <w:footerReference w:type="default" r:id="rId14"/>
          <w:pgSz w:w="11910" w:h="16850"/>
          <w:pgMar w:footer="996" w:header="0" w:top="1400" w:bottom="1180" w:left="1620" w:right="1560"/>
          <w:pgNumType w:start="57"/>
        </w:sectPr>
      </w:pPr>
    </w:p>
    <w:p>
      <w:pPr>
        <w:pStyle w:val="BodyText"/>
        <w:spacing w:before="9"/>
        <w:ind w:left="230"/>
      </w:pPr>
      <w:r>
        <w:rPr/>
        <w:pict>
          <v:group style="position:absolute;margin-left:86.893997pt;margin-top:71.749977pt;width:421.7pt;height:698.7pt;mso-position-horizontal-relative:page;mso-position-vertical-relative:page;z-index:-197056" coordorigin="1738,1435" coordsize="8434,13974">
            <v:line style="position:absolute" from="1748,1445" to="10161,1445" stroked="true" strokeweight=".48pt" strokecolor="#000000">
              <v:stroke dashstyle="solid"/>
            </v:line>
            <v:line style="position:absolute" from="1743,1440" to="1743,15403" stroked="true" strokeweight=".48pt" strokecolor="#000000">
              <v:stroke dashstyle="solid"/>
            </v:line>
            <v:line style="position:absolute" from="1748,15398" to="10161,15398" stroked="true" strokeweight=".48004pt" strokecolor="#000000">
              <v:stroke dashstyle="solid"/>
            </v:line>
            <v:line style="position:absolute" from="10166,1440" to="10166,15403" stroked="true" strokeweight=".48001pt" strokecolor="#000000">
              <v:stroke dashstyle="solid"/>
            </v:line>
            <w10:wrap type="none"/>
          </v:group>
        </w:pict>
      </w:r>
      <w:r>
        <w:rPr/>
        <w:t>路沿线红线外 </w:t>
      </w:r>
      <w:r>
        <w:rPr>
          <w:rFonts w:ascii="Times New Roman" w:eastAsia="Times New Roman"/>
        </w:rPr>
        <w:t>200m </w:t>
      </w:r>
      <w:r>
        <w:rPr/>
        <w:t>范围内主要为居民。</w:t>
      </w:r>
    </w:p>
    <w:p>
      <w:pPr>
        <w:pStyle w:val="BodyText"/>
        <w:spacing w:line="345" w:lineRule="auto" w:before="136"/>
        <w:ind w:left="230" w:right="220" w:firstLine="479"/>
      </w:pPr>
      <w:r>
        <w:rPr>
          <w:spacing w:val="-1"/>
        </w:rPr>
        <w:t>总体上，本项目道路沿线外环境较简单，道路红线外 </w:t>
      </w:r>
      <w:r>
        <w:rPr>
          <w:rFonts w:ascii="Times New Roman" w:eastAsia="Times New Roman"/>
        </w:rPr>
        <w:t>200m </w:t>
      </w:r>
      <w:r>
        <w:rPr/>
        <w:t>范围内主要为</w:t>
      </w:r>
      <w:r>
        <w:rPr>
          <w:spacing w:val="-8"/>
        </w:rPr>
        <w:t>农田和荒地。项目评价范围内不涉及自然保护区、风景名胜区及重点文物古迹， </w:t>
      </w:r>
      <w:r>
        <w:rPr>
          <w:spacing w:val="-1"/>
        </w:rPr>
        <w:t>也无工业企业。项目周边无明显的环境制约因素，因此，本项目选址合理。 </w:t>
      </w:r>
    </w:p>
    <w:p>
      <w:pPr>
        <w:pStyle w:val="Heading3"/>
        <w:spacing w:before="46"/>
        <w:ind w:left="710"/>
      </w:pPr>
      <w:r>
        <w:rPr>
          <w:rFonts w:ascii="Times New Roman" w:eastAsia="Times New Roman"/>
          <w:w w:val="95"/>
        </w:rPr>
        <w:t>4</w:t>
      </w:r>
      <w:r>
        <w:rPr>
          <w:w w:val="95"/>
        </w:rPr>
        <w:t>、区域环境质量现状</w:t>
      </w:r>
    </w:p>
    <w:p>
      <w:pPr>
        <w:pStyle w:val="BodyText"/>
        <w:spacing w:before="135"/>
        <w:ind w:left="710"/>
      </w:pPr>
      <w:r>
        <w:rPr/>
        <w:t>（</w:t>
      </w:r>
      <w:r>
        <w:rPr>
          <w:rFonts w:ascii="Times New Roman" w:eastAsia="Times New Roman"/>
        </w:rPr>
        <w:t>1</w:t>
      </w:r>
      <w:r>
        <w:rPr/>
        <w:t>）大气环境</w:t>
      </w:r>
    </w:p>
    <w:p>
      <w:pPr>
        <w:pStyle w:val="BodyText"/>
        <w:spacing w:line="338" w:lineRule="auto" w:before="132"/>
        <w:ind w:left="230" w:right="220" w:firstLine="479"/>
        <w:rPr>
          <w:b/>
        </w:rPr>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w:t>
      </w:r>
      <w:r>
        <w:rPr>
          <w:spacing w:val="-1"/>
        </w:rPr>
        <w:t>级标准的要求。</w:t>
      </w:r>
      <w:r>
        <w:rPr>
          <w:b/>
          <w:spacing w:val="-1"/>
          <w:w w:val="99"/>
        </w:rPr>
        <w:t> </w:t>
      </w:r>
    </w:p>
    <w:p>
      <w:pPr>
        <w:pStyle w:val="BodyText"/>
        <w:spacing w:before="53"/>
        <w:ind w:left="710"/>
      </w:pPr>
      <w:r>
        <w:rPr/>
        <w:t>（</w:t>
      </w:r>
      <w:r>
        <w:rPr>
          <w:rFonts w:ascii="Times New Roman" w:eastAsia="Times New Roman"/>
        </w:rPr>
        <w:t>2</w:t>
      </w:r>
      <w:r>
        <w:rPr/>
        <w:t>）地表水环境</w:t>
      </w:r>
    </w:p>
    <w:p>
      <w:pPr>
        <w:pStyle w:val="BodyText"/>
        <w:spacing w:before="135"/>
        <w:ind w:left="713"/>
      </w:pPr>
      <w:r>
        <w:rPr/>
        <w:t>各监测指标满足《地表水环境质量标准》（</w:t>
      </w:r>
      <w:r>
        <w:rPr>
          <w:rFonts w:ascii="Times New Roman" w:hAnsi="Times New Roman" w:eastAsia="Times New Roman"/>
        </w:rPr>
        <w:t>GB3838-2002</w:t>
      </w:r>
      <w:r>
        <w:rPr/>
        <w:t>）Ⅲ类水域标准要</w:t>
      </w:r>
    </w:p>
    <w:p>
      <w:pPr>
        <w:pStyle w:val="BodyText"/>
        <w:spacing w:before="2"/>
        <w:rPr>
          <w:sz w:val="8"/>
        </w:rPr>
      </w:pPr>
    </w:p>
    <w:p>
      <w:pPr>
        <w:pStyle w:val="BodyText"/>
        <w:spacing w:before="26"/>
        <w:ind w:left="230"/>
      </w:pPr>
      <w:r>
        <w:rPr/>
        <w:t>求。</w:t>
      </w:r>
    </w:p>
    <w:p>
      <w:pPr>
        <w:pStyle w:val="BodyText"/>
        <w:spacing w:before="154"/>
        <w:ind w:left="710"/>
      </w:pPr>
      <w:r>
        <w:rPr/>
        <w:t>（</w:t>
      </w:r>
      <w:r>
        <w:rPr>
          <w:rFonts w:ascii="Times New Roman" w:eastAsia="Times New Roman"/>
        </w:rPr>
        <w:t>3</w:t>
      </w:r>
      <w:r>
        <w:rPr/>
        <w:t>）声环境</w:t>
      </w:r>
    </w:p>
    <w:p>
      <w:pPr>
        <w:pStyle w:val="BodyText"/>
        <w:spacing w:before="136"/>
        <w:ind w:left="710"/>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3"/>
        <w:ind w:left="230"/>
      </w:pPr>
      <w:r>
        <w:rPr>
          <w:rFonts w:ascii="Times New Roman" w:eastAsia="Times New Roman"/>
        </w:rPr>
        <w:t>2 </w:t>
      </w:r>
      <w:r>
        <w:rPr/>
        <w:t>类、</w:t>
      </w:r>
      <w:r>
        <w:rPr>
          <w:rFonts w:ascii="Times New Roman" w:eastAsia="Times New Roman"/>
        </w:rPr>
        <w:t>4a </w:t>
      </w:r>
      <w:r>
        <w:rPr/>
        <w:t>类标准要求，项目所在地声环境质量良好。</w:t>
      </w:r>
    </w:p>
    <w:p>
      <w:pPr>
        <w:pStyle w:val="Heading3"/>
        <w:spacing w:before="135"/>
        <w:ind w:left="713"/>
      </w:pPr>
      <w:r>
        <w:rPr>
          <w:rFonts w:ascii="Times New Roman" w:eastAsia="Times New Roman"/>
          <w:w w:val="95"/>
        </w:rPr>
        <w:t>5</w:t>
      </w:r>
      <w:r>
        <w:rPr>
          <w:w w:val="95"/>
        </w:rPr>
        <w:t>、环境影响评价结论</w:t>
      </w:r>
    </w:p>
    <w:p>
      <w:pPr>
        <w:pStyle w:val="BodyText"/>
        <w:spacing w:before="133"/>
        <w:ind w:left="710"/>
      </w:pPr>
      <w:r>
        <w:rPr>
          <w:rFonts w:ascii="仿宋" w:eastAsia="仿宋" w:hint="eastAsia"/>
        </w:rPr>
        <w:t>（</w:t>
      </w:r>
      <w:r>
        <w:rPr>
          <w:rFonts w:ascii="Times New Roman" w:eastAsia="Times New Roman"/>
        </w:rPr>
        <w:t>1</w:t>
      </w:r>
      <w:r>
        <w:rPr>
          <w:rFonts w:ascii="仿宋" w:eastAsia="仿宋" w:hint="eastAsia"/>
        </w:rPr>
        <w:t>）</w:t>
      </w:r>
      <w:r>
        <w:rPr/>
        <w:t>施工期环境影响分析</w:t>
      </w:r>
    </w:p>
    <w:p>
      <w:pPr>
        <w:pStyle w:val="BodyText"/>
        <w:spacing w:line="355" w:lineRule="auto" w:before="135"/>
        <w:ind w:left="230" w:right="220" w:firstLine="479"/>
      </w:pPr>
      <w:r>
        <w:rPr/>
        <w:t>本项目施工期对环境存在一定的影响，但是这些影响具有时效性，施工期间通过采取有效的污染防治措施后，可将这些影响降至最低。</w:t>
      </w:r>
    </w:p>
    <w:p>
      <w:pPr>
        <w:pStyle w:val="BodyText"/>
        <w:spacing w:before="38"/>
        <w:ind w:left="710"/>
      </w:pPr>
      <w:r>
        <w:rPr/>
        <w:t>（</w:t>
      </w:r>
      <w:r>
        <w:rPr>
          <w:rFonts w:ascii="Times New Roman" w:eastAsia="Times New Roman"/>
        </w:rPr>
        <w:t>2</w:t>
      </w:r>
      <w:r>
        <w:rPr/>
        <w:t>）营运期的影响</w:t>
      </w:r>
    </w:p>
    <w:p>
      <w:pPr>
        <w:pStyle w:val="BodyText"/>
        <w:spacing w:line="357" w:lineRule="auto" w:before="133"/>
        <w:ind w:left="230" w:right="230" w:firstLine="479"/>
        <w:jc w:val="both"/>
      </w:pPr>
      <w:r>
        <w:rPr/>
        <w:t>营运期对环境的重要影响主要为路面扬尘、汽车尾气和交通噪声。路面扬尘通过项目绿化带中乔木、灌木吸附，可以极大的减少扬尘量。交通噪声控制要在环境敏感点处设置限速、禁止鸣笛的标志，利用绿化带吸收和阻隔交通噪声对这 些敏感点的影响。</w:t>
      </w:r>
    </w:p>
    <w:p>
      <w:pPr>
        <w:pStyle w:val="Heading3"/>
        <w:spacing w:before="34"/>
        <w:ind w:left="713"/>
      </w:pPr>
      <w:r>
        <w:rPr>
          <w:w w:val="95"/>
        </w:rPr>
        <w:t>6、污染治理措施的合理性和有效性</w:t>
      </w:r>
      <w:r>
        <w:rPr>
          <w:w w:val="99"/>
        </w:rPr>
        <w:t> </w:t>
      </w:r>
    </w:p>
    <w:p>
      <w:pPr>
        <w:pStyle w:val="BodyText"/>
        <w:spacing w:line="355" w:lineRule="auto" w:before="154"/>
        <w:ind w:left="230" w:right="65" w:firstLine="479"/>
      </w:pPr>
      <w:r>
        <w:rPr/>
        <w:t>本项目施工过程中产生的噪声和扬尘经采取治理措施后，评价区声环境和</w:t>
      </w:r>
      <w:r>
        <w:rPr>
          <w:spacing w:val="-4"/>
        </w:rPr>
        <w:t>大气环境能够达到《声环境质量标准</w:t>
      </w:r>
      <w:r>
        <w:rPr>
          <w:spacing w:val="-152"/>
        </w:rPr>
        <w:t>》</w:t>
      </w:r>
      <w:r>
        <w:rPr>
          <w:spacing w:val="-3"/>
        </w:rPr>
        <w:t>（</w:t>
      </w:r>
      <w:r>
        <w:rPr>
          <w:rFonts w:ascii="Times New Roman" w:eastAsia="Times New Roman"/>
          <w:spacing w:val="-3"/>
        </w:rPr>
        <w:t>GB3096-2008</w:t>
      </w:r>
      <w:r>
        <w:rPr>
          <w:spacing w:val="-3"/>
        </w:rPr>
        <w:t>）</w:t>
      </w:r>
      <w:r>
        <w:rPr>
          <w:spacing w:val="-7"/>
        </w:rPr>
        <w:t>和《环境空气质量标准》</w:t>
      </w:r>
    </w:p>
    <w:p>
      <w:pPr>
        <w:pStyle w:val="BodyText"/>
        <w:spacing w:before="8"/>
        <w:ind w:left="230"/>
      </w:pPr>
      <w:r>
        <w:rPr/>
        <w:t>（</w:t>
      </w:r>
      <w:r>
        <w:rPr>
          <w:rFonts w:ascii="Times New Roman" w:eastAsia="Times New Roman"/>
        </w:rPr>
        <w:t>GB3095-2012</w:t>
      </w:r>
      <w:r>
        <w:rPr/>
        <w:t>）中的相关要求，工程建成后具有良好的环境正效益。</w:t>
      </w:r>
    </w:p>
    <w:p>
      <w:pPr>
        <w:pStyle w:val="Heading3"/>
        <w:spacing w:before="135"/>
        <w:ind w:left="713"/>
      </w:pPr>
      <w:r>
        <w:rPr>
          <w:w w:val="95"/>
        </w:rPr>
        <w:t>7、总量控制</w:t>
      </w:r>
      <w:r>
        <w:rPr>
          <w:w w:val="99"/>
        </w:rPr>
        <w:t> </w:t>
      </w:r>
    </w:p>
    <w:p>
      <w:pPr>
        <w:pStyle w:val="BodyText"/>
        <w:spacing w:before="151"/>
        <w:ind w:left="710"/>
      </w:pPr>
      <w:r>
        <w:rPr/>
        <w:t>本项目不设总量控制指标。</w:t>
      </w:r>
    </w:p>
    <w:p>
      <w:pPr>
        <w:pStyle w:val="Heading3"/>
        <w:spacing w:before="154"/>
        <w:ind w:left="713"/>
      </w:pPr>
      <w:r>
        <w:rPr>
          <w:w w:val="95"/>
        </w:rPr>
        <w:t>8、评价结论</w:t>
      </w:r>
      <w:r>
        <w:rPr>
          <w:w w:val="99"/>
        </w:rPr>
        <w:t> </w:t>
      </w:r>
    </w:p>
    <w:p>
      <w:pPr>
        <w:spacing w:after="0"/>
        <w:sectPr>
          <w:pgSz w:w="11910" w:h="16850"/>
          <w:pgMar w:header="0" w:footer="996" w:top="1400" w:bottom="1180" w:left="1620" w:right="1620"/>
        </w:sectPr>
      </w:pPr>
    </w:p>
    <w:p>
      <w:pPr>
        <w:spacing w:line="240" w:lineRule="auto"/>
        <w:ind w:left="97" w:right="0" w:firstLine="0"/>
        <w:rPr>
          <w:sz w:val="20"/>
        </w:rPr>
      </w:pPr>
      <w:r>
        <w:rPr>
          <w:rFonts w:ascii="Times New Roman"/>
          <w:spacing w:val="-49"/>
          <w:sz w:val="20"/>
        </w:rPr>
        <w:t> </w:t>
      </w:r>
      <w:r>
        <w:rPr>
          <w:spacing w:val="-49"/>
          <w:sz w:val="20"/>
        </w:rPr>
        <w:pict>
          <v:shape style="width:421.2pt;height:607.550pt;mso-position-horizontal-relative:char;mso-position-vertical-relative:line" type="#_x0000_t202" filled="false" stroked="true" strokeweight=".48001pt" strokecolor="#000000">
            <w10:anchorlock/>
            <v:textbox inset="0,0,0,0">
              <w:txbxContent>
                <w:p>
                  <w:pPr>
                    <w:spacing w:line="274" w:lineRule="exact" w:before="0"/>
                    <w:ind w:left="103" w:right="0" w:firstLine="482"/>
                    <w:jc w:val="left"/>
                    <w:rPr>
                      <w:b/>
                      <w:sz w:val="24"/>
                    </w:rPr>
                  </w:pPr>
                  <w:r>
                    <w:rPr>
                      <w:b/>
                      <w:sz w:val="24"/>
                    </w:rPr>
                    <w:t>本项目属于道路建设项目，项目符合国家产业发展政策，选址符合开江县</w:t>
                  </w:r>
                </w:p>
                <w:p>
                  <w:pPr>
                    <w:spacing w:line="352" w:lineRule="auto" w:before="154"/>
                    <w:ind w:left="103" w:right="0" w:firstLine="0"/>
                    <w:jc w:val="left"/>
                    <w:rPr>
                      <w:b/>
                      <w:sz w:val="24"/>
                    </w:rPr>
                  </w:pPr>
                  <w:r>
                    <w:rPr>
                      <w:b/>
                      <w:sz w:val="24"/>
                    </w:rPr>
                    <w:t>总体用地规划。贯彻了</w:t>
                  </w:r>
                  <w:r>
                    <w:rPr>
                      <w:rFonts w:ascii="Times New Roman" w:hAnsi="Times New Roman" w:eastAsia="Times New Roman"/>
                      <w:b/>
                      <w:sz w:val="24"/>
                    </w:rPr>
                    <w:t>“</w:t>
                  </w:r>
                  <w:r>
                    <w:rPr>
                      <w:b/>
                      <w:sz w:val="24"/>
                    </w:rPr>
                    <w:t>清洁生产、总量控制和达标排放原则</w:t>
                  </w:r>
                  <w:r>
                    <w:rPr>
                      <w:rFonts w:ascii="Times New Roman" w:hAnsi="Times New Roman" w:eastAsia="Times New Roman"/>
                      <w:b/>
                      <w:sz w:val="24"/>
                    </w:rPr>
                    <w:t>”</w:t>
                  </w:r>
                  <w:r>
                    <w:rPr>
                      <w:b/>
                      <w:sz w:val="24"/>
                    </w:rPr>
                    <w:t>；采取的污染物治理措施经济、技术可行，措施有效。项目在施工期、营运期只要严格按照本</w:t>
                  </w:r>
                  <w:r>
                    <w:rPr>
                      <w:b/>
                      <w:spacing w:val="-5"/>
                      <w:w w:val="95"/>
                      <w:sz w:val="24"/>
                    </w:rPr>
                    <w:t>报告表所提出的污染防治对策，并加强内部环境管理，落实废气、废水、噪声、 固</w:t>
                  </w:r>
                  <w:r>
                    <w:rPr>
                      <w:b/>
                      <w:spacing w:val="-5"/>
                      <w:sz w:val="24"/>
                    </w:rPr>
                    <w:t>废等治理措施，确保各项污染物达标排放，实现环境保护设施的有效运行。因此</w:t>
                  </w:r>
                  <w:r>
                    <w:rPr>
                      <w:b/>
                      <w:spacing w:val="-5"/>
                      <w:w w:val="95"/>
                      <w:sz w:val="24"/>
                    </w:rPr>
                    <w:t>，从环境保护的角度看，本项目建设是可行的。</w:t>
                  </w:r>
                </w:p>
                <w:p>
                  <w:pPr>
                    <w:spacing w:before="39"/>
                    <w:ind w:left="150" w:right="7270" w:firstLine="0"/>
                    <w:jc w:val="center"/>
                    <w:rPr>
                      <w:b/>
                      <w:sz w:val="24"/>
                    </w:rPr>
                  </w:pPr>
                  <w:r>
                    <w:rPr>
                      <w:b/>
                      <w:sz w:val="24"/>
                    </w:rPr>
                    <w:t>二、建议</w:t>
                  </w:r>
                  <w:r>
                    <w:rPr>
                      <w:b/>
                      <w:w w:val="99"/>
                      <w:sz w:val="24"/>
                    </w:rPr>
                    <w:t> </w:t>
                  </w:r>
                </w:p>
                <w:p>
                  <w:pPr>
                    <w:pStyle w:val="BodyText"/>
                    <w:spacing w:before="154"/>
                    <w:ind w:left="583" w:right="-15"/>
                  </w:pPr>
                  <w:r>
                    <w:rPr/>
                    <w:t>1</w:t>
                  </w:r>
                  <w:r>
                    <w:rPr>
                      <w:spacing w:val="-3"/>
                    </w:rPr>
                    <w:t>、建议在营运期建立环境监测制度，营运期不定期监测道路扬尘，噪声。</w:t>
                  </w:r>
                  <w:r>
                    <w:rPr/>
                    <w:t> </w:t>
                  </w:r>
                </w:p>
                <w:p>
                  <w:pPr>
                    <w:pStyle w:val="BodyText"/>
                    <w:spacing w:line="357" w:lineRule="auto" w:before="152"/>
                    <w:ind w:left="103" w:right="103" w:firstLine="479"/>
                    <w:jc w:val="both"/>
                  </w:pPr>
                  <w:r>
                    <w:rPr/>
                    <w:t>2</w:t>
                  </w:r>
                  <w:r>
                    <w:rPr>
                      <w:spacing w:val="-10"/>
                    </w:rPr>
                    <w:t>、合理规划区域布局，如必须在紧邻道路处新建居民住宅、学校等敏感点时，应按《中华人民共和国环境噪声污染防治法》的规定，由建设单位考虑优化建筑布局或对临近道路的前几排住宅采取隔、吸声治理措施，以使室内环境能达到相 应的使用功能噪声标准。 </w:t>
                  </w:r>
                </w:p>
                <w:p>
                  <w:pPr>
                    <w:pStyle w:val="BodyText"/>
                    <w:spacing w:before="36"/>
                    <w:ind w:left="583"/>
                  </w:pPr>
                  <w:r>
                    <w:rPr/>
                    <w:t> </w:t>
                  </w:r>
                </w:p>
                <w:p>
                  <w:pPr>
                    <w:pStyle w:val="BodyText"/>
                    <w:spacing w:before="151"/>
                    <w:ind w:left="583"/>
                  </w:pPr>
                  <w:r>
                    <w:rPr/>
                    <w:t> </w:t>
                  </w:r>
                </w:p>
                <w:p>
                  <w:pPr>
                    <w:pStyle w:val="BodyText"/>
                    <w:spacing w:before="153"/>
                    <w:ind w:left="583"/>
                  </w:pPr>
                  <w:r>
                    <w:rPr/>
                    <w:t> </w:t>
                  </w:r>
                </w:p>
                <w:p>
                  <w:pPr>
                    <w:pStyle w:val="BodyText"/>
                    <w:spacing w:before="151"/>
                    <w:ind w:left="583"/>
                  </w:pPr>
                  <w:r>
                    <w:rPr/>
                    <w:t> </w:t>
                  </w:r>
                </w:p>
                <w:p>
                  <w:pPr>
                    <w:pStyle w:val="BodyText"/>
                    <w:spacing w:before="153"/>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3"/>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24.6pt;mso-position-horizontal-relative:char;mso-position-vertical-relative:line" type="#_x0000_t202" filled="false" stroked="true" strokeweight=".48001pt" strokecolor="#000000">
            <w10:anchorlock/>
            <v:textbox inset="0,0,0,0">
              <w:txbxContent>
                <w:p>
                  <w:pPr>
                    <w:spacing w:line="411" w:lineRule="exact" w:before="0"/>
                    <w:ind w:left="3736" w:right="3561" w:firstLine="0"/>
                    <w:jc w:val="center"/>
                    <w:rPr>
                      <w:b/>
                      <w:sz w:val="36"/>
                    </w:rPr>
                  </w:pPr>
                  <w:r>
                    <w:rPr>
                      <w:b/>
                      <w:sz w:val="36"/>
                    </w:rPr>
                    <w:t>注  释</w:t>
                  </w:r>
                  <w:r>
                    <w:rPr>
                      <w:b/>
                      <w:w w:val="99"/>
                      <w:sz w:val="36"/>
                    </w:rPr>
                    <w:t> </w:t>
                  </w:r>
                </w:p>
                <w:p>
                  <w:pPr>
                    <w:spacing w:line="355" w:lineRule="auto" w:before="250"/>
                    <w:ind w:left="736" w:right="3677" w:hanging="53"/>
                    <w:jc w:val="left"/>
                    <w:rPr>
                      <w:b/>
                      <w:sz w:val="24"/>
                    </w:rPr>
                  </w:pPr>
                  <w:r>
                    <w:rPr>
                      <w:b/>
                      <w:sz w:val="24"/>
                    </w:rPr>
                    <w:t>一、本报告表应附以下附件、附图： </w:t>
                  </w:r>
                  <w:r>
                    <w:rPr>
                      <w:b/>
                      <w:w w:val="95"/>
                      <w:sz w:val="24"/>
                    </w:rPr>
                    <w:t>附件：</w:t>
                  </w:r>
                </w:p>
                <w:p>
                  <w:pPr>
                    <w:pStyle w:val="BodyText"/>
                    <w:spacing w:before="39"/>
                    <w:ind w:left="691"/>
                  </w:pPr>
                  <w:r>
                    <w:rPr/>
                    <w:t>附件 </w:t>
                  </w:r>
                  <w:r>
                    <w:rPr>
                      <w:rFonts w:ascii="Times New Roman" w:eastAsia="Times New Roman"/>
                    </w:rPr>
                    <w:t>1  </w:t>
                  </w:r>
                  <w:r>
                    <w:rPr/>
                    <w:t>环评委托书</w:t>
                  </w:r>
                </w:p>
                <w:p>
                  <w:pPr>
                    <w:pStyle w:val="BodyText"/>
                    <w:spacing w:line="336" w:lineRule="auto" w:before="136"/>
                    <w:ind w:left="211" w:right="133" w:firstLine="479"/>
                  </w:pPr>
                  <w:r>
                    <w:rPr>
                      <w:spacing w:val="-20"/>
                    </w:rPr>
                    <w:t>附件 </w:t>
                  </w:r>
                  <w:r>
                    <w:rPr>
                      <w:rFonts w:ascii="Times New Roman" w:eastAsia="Times New Roman"/>
                    </w:rPr>
                    <w:t>2 </w:t>
                  </w:r>
                  <w:r>
                    <w:rPr>
                      <w:spacing w:val="-10"/>
                    </w:rPr>
                    <w:t>开江县发展和改革局《关于滨水景观 </w:t>
                  </w:r>
                  <w:r>
                    <w:rPr>
                      <w:rFonts w:ascii="Times New Roman" w:eastAsia="Times New Roman"/>
                    </w:rPr>
                    <w:t>3#</w:t>
                  </w:r>
                  <w:r>
                    <w:rPr/>
                    <w:t>桥连接峨城大道段道路工</w:t>
                  </w:r>
                  <w:r>
                    <w:rPr>
                      <w:spacing w:val="-9"/>
                    </w:rPr>
                    <w:t>程 项目可行性研究报告的批复》</w:t>
                  </w:r>
                  <w:r>
                    <w:rPr/>
                    <w:t>（开发行审［</w:t>
                  </w:r>
                  <w:r>
                    <w:rPr>
                      <w:rFonts w:ascii="Times New Roman" w:eastAsia="Times New Roman"/>
                    </w:rPr>
                    <w:t>2016</w:t>
                  </w:r>
                  <w:r>
                    <w:rPr/>
                    <w:t>］</w:t>
                  </w:r>
                  <w:r>
                    <w:rPr>
                      <w:rFonts w:ascii="Times New Roman" w:eastAsia="Times New Roman"/>
                    </w:rPr>
                    <w:t>19 </w:t>
                  </w:r>
                  <w:r>
                    <w:rPr/>
                    <w:t>号）</w:t>
                  </w:r>
                </w:p>
                <w:p>
                  <w:pPr>
                    <w:pStyle w:val="BodyText"/>
                    <w:spacing w:before="29"/>
                    <w:ind w:left="691"/>
                  </w:pPr>
                  <w:r>
                    <w:rPr/>
                    <w:t>附件 </w:t>
                  </w:r>
                  <w:r>
                    <w:rPr>
                      <w:rFonts w:ascii="Times New Roman" w:eastAsia="Times New Roman"/>
                    </w:rPr>
                    <w:t>3  </w:t>
                  </w:r>
                  <w:r>
                    <w:rPr/>
                    <w:t>相关文件</w:t>
                  </w:r>
                </w:p>
                <w:p>
                  <w:pPr>
                    <w:pStyle w:val="BodyText"/>
                    <w:rPr>
                      <w:rFonts w:ascii="Times New Roman"/>
                      <w:sz w:val="26"/>
                    </w:rPr>
                  </w:pPr>
                </w:p>
                <w:p>
                  <w:pPr>
                    <w:pStyle w:val="BodyText"/>
                    <w:spacing w:before="7"/>
                    <w:rPr>
                      <w:rFonts w:ascii="Times New Roman"/>
                      <w:sz w:val="35"/>
                    </w:rPr>
                  </w:pPr>
                </w:p>
                <w:p>
                  <w:pPr>
                    <w:spacing w:before="1"/>
                    <w:ind w:left="736" w:right="0" w:firstLine="0"/>
                    <w:jc w:val="left"/>
                    <w:rPr>
                      <w:b/>
                      <w:sz w:val="24"/>
                    </w:rPr>
                  </w:pPr>
                  <w:r>
                    <w:rPr>
                      <w:b/>
                      <w:w w:val="95"/>
                      <w:sz w:val="24"/>
                    </w:rPr>
                    <w:t>附图：</w:t>
                  </w:r>
                </w:p>
                <w:p>
                  <w:pPr>
                    <w:pStyle w:val="BodyText"/>
                    <w:spacing w:before="185"/>
                    <w:ind w:left="736"/>
                  </w:pPr>
                  <w:r>
                    <w:rPr/>
                    <w:t>附图 </w:t>
                  </w:r>
                  <w:r>
                    <w:rPr>
                      <w:rFonts w:ascii="Times New Roman" w:eastAsia="Times New Roman"/>
                    </w:rPr>
                    <w:t>1  </w:t>
                  </w:r>
                  <w:r>
                    <w:rPr/>
                    <w:t>项目地理位置图</w:t>
                  </w:r>
                </w:p>
                <w:p>
                  <w:pPr>
                    <w:pStyle w:val="BodyText"/>
                    <w:spacing w:before="167"/>
                    <w:ind w:left="736"/>
                  </w:pPr>
                  <w:r>
                    <w:rPr/>
                    <w:t>附图 </w:t>
                  </w:r>
                  <w:r>
                    <w:rPr>
                      <w:rFonts w:ascii="Times New Roman" w:eastAsia="Times New Roman"/>
                    </w:rPr>
                    <w:t>2  </w:t>
                  </w:r>
                  <w:r>
                    <w:rPr/>
                    <w:t>项目外环境关系及监测布点图</w:t>
                  </w:r>
                </w:p>
                <w:p>
                  <w:pPr>
                    <w:pStyle w:val="BodyText"/>
                    <w:spacing w:before="169"/>
                    <w:ind w:left="736"/>
                  </w:pPr>
                  <w:r>
                    <w:rPr/>
                    <w:t>附图 </w:t>
                  </w:r>
                  <w:r>
                    <w:rPr>
                      <w:rFonts w:ascii="Times New Roman" w:eastAsia="Times New Roman"/>
                    </w:rPr>
                    <w:t>3  </w:t>
                  </w:r>
                  <w:r>
                    <w:rPr/>
                    <w:t>项目平面布置图</w:t>
                  </w:r>
                </w:p>
                <w:p>
                  <w:pPr>
                    <w:pStyle w:val="BodyText"/>
                    <w:spacing w:before="166"/>
                    <w:ind w:left="736"/>
                  </w:pPr>
                  <w:r>
                    <w:rPr/>
                    <w:t>附图 </w:t>
                  </w:r>
                  <w:r>
                    <w:rPr>
                      <w:rFonts w:ascii="Times New Roman" w:eastAsia="Times New Roman"/>
                    </w:rPr>
                    <w:t>4  </w:t>
                  </w:r>
                  <w:r>
                    <w:rPr/>
                    <w:t>施工平面布置图</w:t>
                  </w:r>
                </w:p>
                <w:p>
                  <w:pPr>
                    <w:spacing w:before="166"/>
                    <w:ind w:left="693" w:right="0" w:firstLine="0"/>
                    <w:jc w:val="left"/>
                    <w:rPr>
                      <w:b/>
                      <w:sz w:val="24"/>
                    </w:rPr>
                  </w:pPr>
                  <w:r>
                    <w:rPr>
                      <w:b/>
                      <w:w w:val="95"/>
                      <w:sz w:val="24"/>
                    </w:rPr>
                    <w:t>二、如果本报告表不能说明项目产生的污染及对环境造成的影响，应进</w:t>
                  </w:r>
                </w:p>
                <w:p>
                  <w:pPr>
                    <w:spacing w:line="500" w:lineRule="atLeast" w:before="1"/>
                    <w:ind w:left="211" w:right="133" w:firstLine="0"/>
                    <w:jc w:val="left"/>
                    <w:rPr>
                      <w:b/>
                      <w:sz w:val="24"/>
                    </w:rPr>
                  </w:pPr>
                  <w:r>
                    <w:rPr>
                      <w:b/>
                      <w:spacing w:val="-3"/>
                      <w:sz w:val="24"/>
                    </w:rPr>
                    <w:t>行专项评价。根据建设项目的特点和当地环境特征，应选下列 </w:t>
                  </w:r>
                  <w:r>
                    <w:rPr>
                      <w:b/>
                      <w:sz w:val="24"/>
                    </w:rPr>
                    <w:t>1-2</w:t>
                  </w:r>
                  <w:r>
                    <w:rPr>
                      <w:b/>
                      <w:spacing w:val="-13"/>
                      <w:sz w:val="24"/>
                    </w:rPr>
                    <w:t> 项进行专项评价。</w:t>
                  </w:r>
                </w:p>
                <w:p>
                  <w:pPr>
                    <w:pStyle w:val="BodyText"/>
                    <w:spacing w:before="24"/>
                    <w:ind w:left="681"/>
                  </w:pPr>
                  <w:r>
                    <w:rPr/>
                    <w:t>1、大气环境影响专项评价 </w:t>
                  </w:r>
                </w:p>
                <w:p>
                  <w:pPr>
                    <w:pStyle w:val="BodyText"/>
                    <w:spacing w:before="154"/>
                    <w:ind w:left="681"/>
                  </w:pPr>
                  <w:r>
                    <w:rPr/>
                    <w:t>2、水环境影响专项评价(包括地表水和地下水) </w:t>
                  </w:r>
                </w:p>
                <w:p>
                  <w:pPr>
                    <w:pStyle w:val="BodyText"/>
                    <w:spacing w:before="151"/>
                    <w:ind w:left="681"/>
                  </w:pPr>
                  <w:r>
                    <w:rPr/>
                    <w:t>3、生态环境影响专项评价 </w:t>
                  </w:r>
                </w:p>
                <w:p>
                  <w:pPr>
                    <w:pStyle w:val="BodyText"/>
                    <w:spacing w:before="153"/>
                    <w:ind w:left="681"/>
                  </w:pPr>
                  <w:r>
                    <w:rPr/>
                    <w:t>4、声影响专项评价 </w:t>
                  </w:r>
                </w:p>
                <w:p>
                  <w:pPr>
                    <w:pStyle w:val="BodyText"/>
                    <w:spacing w:before="151"/>
                    <w:ind w:left="681"/>
                  </w:pPr>
                  <w:r>
                    <w:rPr/>
                    <w:t>5、土壤影响专项评价 </w:t>
                  </w:r>
                </w:p>
                <w:p>
                  <w:pPr>
                    <w:pStyle w:val="BodyText"/>
                    <w:spacing w:before="154"/>
                    <w:ind w:left="681"/>
                  </w:pPr>
                  <w:r>
                    <w:rPr/>
                    <w:t>6、固体废弃物影响专项评价 </w:t>
                  </w:r>
                </w:p>
                <w:p>
                  <w:pPr>
                    <w:pStyle w:val="BodyText"/>
                    <w:spacing w:line="357" w:lineRule="auto" w:before="151"/>
                    <w:ind w:left="211" w:right="133" w:firstLine="470"/>
                  </w:pPr>
                  <w:r>
                    <w:rPr/>
                    <w:t>以上专项评价未包括的可另列专项，专项评价按照《环境影响评价技术导则》中的要求进行。 </w:t>
                  </w:r>
                </w:p>
              </w:txbxContent>
            </v:textbox>
            <v:stroke dashstyle="solid"/>
          </v:shape>
        </w:pict>
      </w:r>
      <w:r>
        <w:rPr>
          <w:spacing w:val="-49"/>
          <w:sz w:val="20"/>
        </w:rPr>
      </w:r>
    </w:p>
    <w:p>
      <w:pPr>
        <w:pStyle w:val="Heading3"/>
        <w:spacing w:line="239" w:lineRule="exact"/>
        <w:ind w:left="158"/>
      </w:pPr>
      <w:r>
        <w:rPr>
          <w:w w:val="99"/>
        </w:rPr>
        <w:t> </w:t>
      </w:r>
    </w:p>
    <w:sectPr>
      <w:pgSz w:w="11910" w:h="16850"/>
      <w:pgMar w:header="0" w:footer="996" w:top="1440" w:bottom="118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宋体">
    <w:altName w:val="宋体"/>
    <w:charset w:val="86"/>
    <w:family w:val="auto"/>
    <w:pitch w:val="variable"/>
  </w:font>
  <w:font w:name="黑体">
    <w:altName w:val="黑体"/>
    <w:charset w:val="86"/>
    <w:family w:val="modern"/>
    <w:pitch w:val="fixed"/>
  </w:font>
  <w:font w:name="Symbol">
    <w:altName w:val="Symbol"/>
    <w:charset w:val="2"/>
    <w:family w:val="roman"/>
    <w:pitch w:val="variable"/>
  </w:font>
  <w:font w:name="华文中宋">
    <w:altName w:val="华文中宋"/>
    <w:charset w:val="86"/>
    <w:family w:val="auto"/>
    <w:pitch w:val="variable"/>
  </w:font>
  <w:font w:name="Cambria Math">
    <w:altName w:val="Cambria Math"/>
    <w:charset w:val="0"/>
    <w:family w:val="roman"/>
    <w:pitch w:val="variable"/>
  </w:font>
  <w:font w:name="MS Gothic">
    <w:altName w:val="MS Gothic"/>
    <w:charset w:val="0"/>
    <w:family w:val="modern"/>
    <w:pitch w:val="fixed"/>
  </w:font>
  <w:font w:name="仿宋">
    <w:altName w:val="仿宋"/>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4"/>
      </w:rPr>
    </w:pPr>
    <w:r>
      <w:rPr/>
      <w:pict>
        <v:shapetype id="_x0000_t202" o:spt="202" coordsize="21600,21600" path="m,l,21600r21600,l21600,xe">
          <v:stroke joinstyle="miter"/>
          <v:path gradientshapeok="t" o:connecttype="rect"/>
        </v:shapetype>
        <v:shape style="position:absolute;margin-left:291.209991pt;margin-top:770.97998pt;width:13.15pt;height:12pt;mso-position-horizontal-relative:page;mso-position-vertical-relative:page;z-index:-199408"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489990pt;margin-top:781.229797pt;width:14.6pt;height:13.7pt;mso-position-horizontal-relative:page;mso-position-vertical-relative:page;z-index:-199384" type="#_x0000_t202" filled="false" stroked="false">
          <v:textbox inset="0,0,0,0">
            <w:txbxContent>
              <w:p>
                <w:pPr>
                  <w:spacing w:before="12"/>
                  <w:ind w:left="40" w:right="0" w:firstLine="0"/>
                  <w:jc w:val="left"/>
                  <w:rPr>
                    <w:rFonts w:ascii="Times New Roman"/>
                    <w:sz w:val="21"/>
                  </w:rPr>
                </w:pPr>
                <w:r>
                  <w:rPr/>
                  <w:fldChar w:fldCharType="begin"/>
                </w:r>
                <w:r>
                  <w:rPr>
                    <w:rFonts w:ascii="Times New Roman"/>
                    <w:sz w:val="21"/>
                  </w:rPr>
                  <w:instrText> PAGE </w:instrText>
                </w:r>
                <w:r>
                  <w:rPr/>
                  <w:fldChar w:fldCharType="separate"/>
                </w:r>
                <w:r>
                  <w:rPr/>
                  <w:t>57</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227" w:hanging="184"/>
      </w:pPr>
      <w:rPr>
        <w:rFonts w:hint="default" w:ascii="Symbol" w:hAnsi="Symbol" w:eastAsia="Symbol" w:cs="Symbol"/>
        <w:w w:val="100"/>
        <w:sz w:val="24"/>
        <w:szCs w:val="24"/>
      </w:rPr>
    </w:lvl>
    <w:lvl w:ilvl="1">
      <w:start w:val="0"/>
      <w:numFmt w:val="bullet"/>
      <w:lvlText w:val="•"/>
      <w:lvlJc w:val="left"/>
      <w:pPr>
        <w:ind w:left="240" w:hanging="184"/>
      </w:pPr>
      <w:rPr>
        <w:rFonts w:hint="default"/>
      </w:rPr>
    </w:lvl>
    <w:lvl w:ilvl="2">
      <w:start w:val="0"/>
      <w:numFmt w:val="bullet"/>
      <w:lvlText w:val="•"/>
      <w:lvlJc w:val="left"/>
      <w:pPr>
        <w:ind w:left="260" w:hanging="184"/>
      </w:pPr>
      <w:rPr>
        <w:rFonts w:hint="default"/>
      </w:rPr>
    </w:lvl>
    <w:lvl w:ilvl="3">
      <w:start w:val="0"/>
      <w:numFmt w:val="bullet"/>
      <w:lvlText w:val="•"/>
      <w:lvlJc w:val="left"/>
      <w:pPr>
        <w:ind w:left="280" w:hanging="184"/>
      </w:pPr>
      <w:rPr>
        <w:rFonts w:hint="default"/>
      </w:rPr>
    </w:lvl>
    <w:lvl w:ilvl="4">
      <w:start w:val="0"/>
      <w:numFmt w:val="bullet"/>
      <w:lvlText w:val="•"/>
      <w:lvlJc w:val="left"/>
      <w:pPr>
        <w:ind w:left="300" w:hanging="184"/>
      </w:pPr>
      <w:rPr>
        <w:rFonts w:hint="default"/>
      </w:rPr>
    </w:lvl>
    <w:lvl w:ilvl="5">
      <w:start w:val="0"/>
      <w:numFmt w:val="bullet"/>
      <w:lvlText w:val="•"/>
      <w:lvlJc w:val="left"/>
      <w:pPr>
        <w:ind w:left="320" w:hanging="184"/>
      </w:pPr>
      <w:rPr>
        <w:rFonts w:hint="default"/>
      </w:rPr>
    </w:lvl>
    <w:lvl w:ilvl="6">
      <w:start w:val="0"/>
      <w:numFmt w:val="bullet"/>
      <w:lvlText w:val="•"/>
      <w:lvlJc w:val="left"/>
      <w:pPr>
        <w:ind w:left="340" w:hanging="184"/>
      </w:pPr>
      <w:rPr>
        <w:rFonts w:hint="default"/>
      </w:rPr>
    </w:lvl>
    <w:lvl w:ilvl="7">
      <w:start w:val="0"/>
      <w:numFmt w:val="bullet"/>
      <w:lvlText w:val="•"/>
      <w:lvlJc w:val="left"/>
      <w:pPr>
        <w:ind w:left="360" w:hanging="184"/>
      </w:pPr>
      <w:rPr>
        <w:rFonts w:hint="default"/>
      </w:rPr>
    </w:lvl>
    <w:lvl w:ilvl="8">
      <w:start w:val="0"/>
      <w:numFmt w:val="bullet"/>
      <w:lvlText w:val="•"/>
      <w:lvlJc w:val="left"/>
      <w:pPr>
        <w:ind w:left="380" w:hanging="184"/>
      </w:pPr>
      <w:rPr>
        <w:rFonts w:hint="default"/>
      </w:rPr>
    </w:lvl>
  </w:abstractNum>
  <w:abstractNum w:abstractNumId="3">
    <w:multiLevelType w:val="hybridMultilevel"/>
    <w:lvl w:ilvl="0">
      <w:start w:val="5"/>
      <w:numFmt w:val="decimal"/>
      <w:lvlText w:val="%1"/>
      <w:lvlJc w:val="left"/>
      <w:pPr>
        <w:ind w:left="3214" w:hanging="2151"/>
        <w:jc w:val="left"/>
      </w:pPr>
      <w:rPr>
        <w:rFonts w:hint="default" w:ascii="Times New Roman" w:hAnsi="Times New Roman" w:eastAsia="Times New Roman" w:cs="Times New Roman"/>
        <w:w w:val="100"/>
        <w:sz w:val="21"/>
        <w:szCs w:val="21"/>
      </w:rPr>
    </w:lvl>
    <w:lvl w:ilvl="1">
      <w:start w:val="0"/>
      <w:numFmt w:val="bullet"/>
      <w:lvlText w:val="•"/>
      <w:lvlJc w:val="left"/>
      <w:pPr>
        <w:ind w:left="3680" w:hanging="2151"/>
      </w:pPr>
      <w:rPr>
        <w:rFonts w:hint="default"/>
      </w:rPr>
    </w:lvl>
    <w:lvl w:ilvl="2">
      <w:start w:val="0"/>
      <w:numFmt w:val="bullet"/>
      <w:lvlText w:val="•"/>
      <w:lvlJc w:val="left"/>
      <w:pPr>
        <w:ind w:left="4140" w:hanging="2151"/>
      </w:pPr>
      <w:rPr>
        <w:rFonts w:hint="default"/>
      </w:rPr>
    </w:lvl>
    <w:lvl w:ilvl="3">
      <w:start w:val="0"/>
      <w:numFmt w:val="bullet"/>
      <w:lvlText w:val="•"/>
      <w:lvlJc w:val="left"/>
      <w:pPr>
        <w:ind w:left="4600" w:hanging="2151"/>
      </w:pPr>
      <w:rPr>
        <w:rFonts w:hint="default"/>
      </w:rPr>
    </w:lvl>
    <w:lvl w:ilvl="4">
      <w:start w:val="0"/>
      <w:numFmt w:val="bullet"/>
      <w:lvlText w:val="•"/>
      <w:lvlJc w:val="left"/>
      <w:pPr>
        <w:ind w:left="5061" w:hanging="2151"/>
      </w:pPr>
      <w:rPr>
        <w:rFonts w:hint="default"/>
      </w:rPr>
    </w:lvl>
    <w:lvl w:ilvl="5">
      <w:start w:val="0"/>
      <w:numFmt w:val="bullet"/>
      <w:lvlText w:val="•"/>
      <w:lvlJc w:val="left"/>
      <w:pPr>
        <w:ind w:left="5521" w:hanging="2151"/>
      </w:pPr>
      <w:rPr>
        <w:rFonts w:hint="default"/>
      </w:rPr>
    </w:lvl>
    <w:lvl w:ilvl="6">
      <w:start w:val="0"/>
      <w:numFmt w:val="bullet"/>
      <w:lvlText w:val="•"/>
      <w:lvlJc w:val="left"/>
      <w:pPr>
        <w:ind w:left="5981" w:hanging="2151"/>
      </w:pPr>
      <w:rPr>
        <w:rFonts w:hint="default"/>
      </w:rPr>
    </w:lvl>
    <w:lvl w:ilvl="7">
      <w:start w:val="0"/>
      <w:numFmt w:val="bullet"/>
      <w:lvlText w:val="•"/>
      <w:lvlJc w:val="left"/>
      <w:pPr>
        <w:ind w:left="6442" w:hanging="2151"/>
      </w:pPr>
      <w:rPr>
        <w:rFonts w:hint="default"/>
      </w:rPr>
    </w:lvl>
    <w:lvl w:ilvl="8">
      <w:start w:val="0"/>
      <w:numFmt w:val="bullet"/>
      <w:lvlText w:val="•"/>
      <w:lvlJc w:val="left"/>
      <w:pPr>
        <w:ind w:left="6902" w:hanging="2151"/>
      </w:pPr>
      <w:rPr>
        <w:rFonts w:hint="default"/>
      </w:rPr>
    </w:lvl>
  </w:abstractNum>
  <w:abstractNum w:abstractNumId="2">
    <w:multiLevelType w:val="hybridMultilevel"/>
    <w:lvl w:ilvl="0">
      <w:start w:val="7"/>
      <w:numFmt w:val="decimal"/>
      <w:lvlText w:val="%1"/>
      <w:lvlJc w:val="left"/>
      <w:pPr>
        <w:ind w:left="2095" w:hanging="1167"/>
        <w:jc w:val="left"/>
      </w:pPr>
      <w:rPr>
        <w:rFonts w:hint="default" w:ascii="Times New Roman" w:hAnsi="Times New Roman" w:eastAsia="Times New Roman" w:cs="Times New Roman"/>
        <w:w w:val="100"/>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1">
    <w:multiLevelType w:val="hybridMultilevel"/>
    <w:lvl w:ilvl="0">
      <w:start w:val="1"/>
      <w:numFmt w:val="decimal"/>
      <w:lvlText w:val="%1"/>
      <w:lvlJc w:val="left"/>
      <w:pPr>
        <w:ind w:left="2095" w:hanging="1167"/>
        <w:jc w:val="left"/>
      </w:pPr>
      <w:rPr>
        <w:rFonts w:hint="default" w:ascii="Times New Roman" w:hAnsi="Times New Roman" w:eastAsia="Times New Roman" w:cs="Times New Roman"/>
        <w:w w:val="100"/>
        <w:position w:val="2"/>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0">
    <w:multiLevelType w:val="hybridMultilevel"/>
    <w:lvl w:ilvl="0">
      <w:start w:val="1"/>
      <w:numFmt w:val="decimal"/>
      <w:lvlText w:val="%1."/>
      <w:lvlJc w:val="left"/>
      <w:pPr>
        <w:ind w:left="118" w:hanging="351"/>
        <w:jc w:val="left"/>
      </w:pPr>
      <w:rPr>
        <w:rFonts w:hint="default" w:ascii="Times New Roman" w:hAnsi="Times New Roman" w:eastAsia="Times New Roman" w:cs="Times New Roman"/>
        <w:w w:val="100"/>
        <w:sz w:val="28"/>
        <w:szCs w:val="28"/>
      </w:rPr>
    </w:lvl>
    <w:lvl w:ilvl="1">
      <w:start w:val="0"/>
      <w:numFmt w:val="bullet"/>
      <w:lvlText w:val="•"/>
      <w:lvlJc w:val="left"/>
      <w:pPr>
        <w:ind w:left="976" w:hanging="351"/>
      </w:pPr>
      <w:rPr>
        <w:rFonts w:hint="default"/>
      </w:rPr>
    </w:lvl>
    <w:lvl w:ilvl="2">
      <w:start w:val="0"/>
      <w:numFmt w:val="bullet"/>
      <w:lvlText w:val="•"/>
      <w:lvlJc w:val="left"/>
      <w:pPr>
        <w:ind w:left="1833" w:hanging="351"/>
      </w:pPr>
      <w:rPr>
        <w:rFonts w:hint="default"/>
      </w:rPr>
    </w:lvl>
    <w:lvl w:ilvl="3">
      <w:start w:val="0"/>
      <w:numFmt w:val="bullet"/>
      <w:lvlText w:val="•"/>
      <w:lvlJc w:val="left"/>
      <w:pPr>
        <w:ind w:left="2689" w:hanging="351"/>
      </w:pPr>
      <w:rPr>
        <w:rFonts w:hint="default"/>
      </w:rPr>
    </w:lvl>
    <w:lvl w:ilvl="4">
      <w:start w:val="0"/>
      <w:numFmt w:val="bullet"/>
      <w:lvlText w:val="•"/>
      <w:lvlJc w:val="left"/>
      <w:pPr>
        <w:ind w:left="3546" w:hanging="351"/>
      </w:pPr>
      <w:rPr>
        <w:rFonts w:hint="default"/>
      </w:rPr>
    </w:lvl>
    <w:lvl w:ilvl="5">
      <w:start w:val="0"/>
      <w:numFmt w:val="bullet"/>
      <w:lvlText w:val="•"/>
      <w:lvlJc w:val="left"/>
      <w:pPr>
        <w:ind w:left="4403" w:hanging="351"/>
      </w:pPr>
      <w:rPr>
        <w:rFonts w:hint="default"/>
      </w:rPr>
    </w:lvl>
    <w:lvl w:ilvl="6">
      <w:start w:val="0"/>
      <w:numFmt w:val="bullet"/>
      <w:lvlText w:val="•"/>
      <w:lvlJc w:val="left"/>
      <w:pPr>
        <w:ind w:left="5259" w:hanging="351"/>
      </w:pPr>
      <w:rPr>
        <w:rFonts w:hint="default"/>
      </w:rPr>
    </w:lvl>
    <w:lvl w:ilvl="7">
      <w:start w:val="0"/>
      <w:numFmt w:val="bullet"/>
      <w:lvlText w:val="•"/>
      <w:lvlJc w:val="left"/>
      <w:pPr>
        <w:ind w:left="6116" w:hanging="351"/>
      </w:pPr>
      <w:rPr>
        <w:rFonts w:hint="default"/>
      </w:rPr>
    </w:lvl>
    <w:lvl w:ilvl="8">
      <w:start w:val="0"/>
      <w:numFmt w:val="bullet"/>
      <w:lvlText w:val="•"/>
      <w:lvlJc w:val="left"/>
      <w:pPr>
        <w:ind w:left="6973" w:hanging="351"/>
      </w:pPr>
      <w:rPr>
        <w:rFonts w:hint="default"/>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2" w:lineRule="exact"/>
      <w:ind w:left="218"/>
      <w:outlineLvl w:val="1"/>
    </w:pPr>
    <w:rPr>
      <w:rFonts w:ascii="宋体" w:hAnsi="宋体" w:eastAsia="宋体" w:cs="宋体"/>
      <w:b/>
      <w:bCs/>
      <w:sz w:val="30"/>
      <w:szCs w:val="30"/>
    </w:rPr>
  </w:style>
  <w:style w:styleId="Heading2" w:type="paragraph">
    <w:name w:val="Heading 2"/>
    <w:basedOn w:val="Normal"/>
    <w:uiPriority w:val="1"/>
    <w:qFormat/>
    <w:pPr>
      <w:spacing w:line="352" w:lineRule="exact"/>
      <w:ind w:left="226"/>
      <w:outlineLvl w:val="2"/>
    </w:pPr>
    <w:rPr>
      <w:rFonts w:ascii="宋体" w:hAnsi="宋体" w:eastAsia="宋体" w:cs="宋体"/>
      <w:b/>
      <w:bCs/>
      <w:sz w:val="28"/>
      <w:szCs w:val="28"/>
    </w:rPr>
  </w:style>
  <w:style w:styleId="Heading3" w:type="paragraph">
    <w:name w:val="Heading 3"/>
    <w:basedOn w:val="Normal"/>
    <w:uiPriority w:val="1"/>
    <w:qFormat/>
    <w:pPr>
      <w:ind w:left="700"/>
      <w:outlineLvl w:val="3"/>
    </w:pPr>
    <w:rPr>
      <w:rFonts w:ascii="宋体" w:hAnsi="宋体" w:eastAsia="宋体" w:cs="宋体"/>
      <w:b/>
      <w:bCs/>
      <w:sz w:val="24"/>
      <w:szCs w:val="24"/>
    </w:rPr>
  </w:style>
  <w:style w:styleId="ListParagraph" w:type="paragraph">
    <w:name w:val="List Paragraph"/>
    <w:basedOn w:val="Normal"/>
    <w:uiPriority w:val="1"/>
    <w:qFormat/>
    <w:pPr>
      <w:ind w:left="118" w:firstLine="559"/>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hyperlink" Target="http://kjs.mep.gov.cn/hjbhbz/bzwb/dqhjbh/xgbz/201412/W020141211579618213818.pdf" TargetMode="External"/><Relationship Id="rId9" Type="http://schemas.openxmlformats.org/officeDocument/2006/relationships/image" Target="media/image3.jpeg"/><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jpeg"/><Relationship Id="rId13" Type="http://schemas.openxmlformats.org/officeDocument/2006/relationships/image" Target="media/image7.jpeg"/><Relationship Id="rId14" Type="http://schemas.openxmlformats.org/officeDocument/2006/relationships/footer" Target="footer2.xml"/><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2017-12-18T17:59:04Z</dcterms:created>
  <dcterms:modified xsi:type="dcterms:W3CDTF">2017-12-18T17:59:04Z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